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арендатор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арендодатель: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арендной платы и ущерба по договору аренды транспортного средства (спецтехники) без экипажа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арендной платы по договору аренды [транспортного средства / спецтехники] [сумма] рублей и ущерба [сумма] рублей.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плату и ущерб, суд не учёл простой техники по вине арендодателя, частичную оплату, досрочный возврат, а также то, что неисправность возникла не из-за эксплуатации арендатором и не зафиксирована при возврате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Плата рассчитана за время простоя техники по вине арендодателя.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611 ГК РФ установлено: «Арендодатель обязан предоставить арендатору имущество в состоянии, соответствующем условиям договора аренды и назначению имущества.» Техника передана [без паспорта самоходной машины / с неисправной гидравликой — акт от «[дата]»] и простаивала с «[дата]» по «[дата]» до ремонта, о чём арендатор уведомил арендодателя. Пунктом 4 статьи 614 ГК РФ предусмотрено: «Если законом не предусмотрено иное, арендатор вправе потребовать соответственного уменьшения арендной платы, если в силу обстоятельств, за которые он не отвечает, условия пользования, предусмотренные договором аренды, или состояние имущества существенно ухудшились.»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Арендная плата внесена [частично], расчёт истца это не учитывает.</w:t>
      </w:r>
      <w:r>
        <w:rPr>
          <w:rFonts w:ascii="Times New Roman" w:hAnsi="Times New Roman"/>
          <w:b w:val="0"/>
          <w:i w:val="0"/>
          <w:sz w:val="24"/>
        </w:rPr>
        <w:t xml:space="preserve"> Ответчик оплатил [сумма] рублей платёжными поручениями № [__] с указанием периода, за который вносится плата. Пунктом 1 статьи 319.1 ГК РФ установлено: «В случае, если исполненного должником недостаточно для погашения всех однородных обязательств должника перед кредитором, исполненное засчитывается в счет обязательства, указанного должником при исполнении или без промедления после исполнения.» Истец зачёл эти платежи в счёт иных периодов [или иных начислений — коммунальных, штрафов], искусственно увеличив долг за спорный период. Контррасчёт прилагается.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Техника возвращена раньше, чем считает истец.</w:t>
      </w:r>
      <w:r>
        <w:rPr>
          <w:rFonts w:ascii="Times New Roman" w:hAnsi="Times New Roman"/>
          <w:b w:val="0"/>
          <w:i w:val="0"/>
          <w:sz w:val="24"/>
        </w:rPr>
        <w:t xml:space="preserve"> Арендатор возвратил технику «[дата]» на площадку арендодателя [акт, путевой лист, данные GPS-трекера, транспортная накладная трала]; начисление после этой даты неправомерно.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Неисправность возникла не из-за эксплуатации арендатором.</w:t>
      </w:r>
      <w:r>
        <w:rPr>
          <w:rFonts w:ascii="Times New Roman" w:hAnsi="Times New Roman"/>
          <w:b w:val="0"/>
          <w:i w:val="0"/>
          <w:sz w:val="24"/>
        </w:rPr>
        <w:t xml:space="preserve"> Статьёй 644 ГК РФ установлено: «Арендатор в течение всего срока договора аренды транспортного средства без экипажа обязан поддерживать надлежащее состояние арендованного транспортного средства, включая осуществление текущего и капитального ремонта.» Однако обязанность поддерживать технику не включает ответственность за скрытые дефекты и естественный износ узлов: [поломка двигателя / гидронасоса] вызвана [выработкой ресурса, который истёк до передачи техники — сервисная книжка / заводским дефектом]. Статьёй 622 ГК РФ установлено: «При прекращении договора аренды арендатор обязан вернуть арендодателю имущество в том состоянии, в котором он его получил, с учетом нормального износа или в состоянии, обусловленном договором.»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Повреждения не зафиксированы при возврате.</w:t>
      </w:r>
      <w:r>
        <w:rPr>
          <w:rFonts w:ascii="Times New Roman" w:hAnsi="Times New Roman"/>
          <w:b w:val="0"/>
          <w:i w:val="0"/>
          <w:sz w:val="24"/>
        </w:rPr>
        <w:t xml:space="preserve"> Акт возврата подписан без замечаний [или с замечаниями только по [__]]; дефектная ведомость составлена истцом через [__] дней, после эксплуатации техники другими лицами.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Стоимость ремонта завышена.</w:t>
      </w:r>
      <w:r>
        <w:rPr>
          <w:rFonts w:ascii="Times New Roman" w:hAnsi="Times New Roman"/>
          <w:b w:val="0"/>
          <w:i w:val="0"/>
          <w:sz w:val="24"/>
        </w:rPr>
        <w:t xml:space="preserve"> Истец предъявляет стоимость [нового агрегата у официального дилера], хотя ремонт возможен за [сумма] рублей; пунктом 2 статьи 393 ГК РФ: «Убытки определяются в соответствии с правилами, предусмотренными статьей 15 настоящего Кодекса.» Суд необоснованно отказал ответчику в назначении экспертизы [или не обсудил этот вопрос]; ответчик ходатайствует перед судом апелляционной инстанции о назначении судебной автотехнической экспертизы (часть 1 статьи 82 АПК РФ: «Для разъяснения возникающих при рассмотрении дела вопросов, требующих специальных знаний, арбитражный суд назначает экспертизу по ходатайству лица, участвующего в деле, или с согласия лиц, участвующих в деле. В случае,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экспертизы, арбитражный суд может назначить экспертизу по своей инициативе.»).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611, 612, 622, 639, 644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