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об исключении имущества из наследственной массы и признании права собственности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об исключении [имущество] из наследственной массы [Ф. И. О. наследодателя] и признании права собственности истца на него.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Исключая имущество из наследства, суд признал право истца на основании [пользования вещью / незарегистрированной сделки / показаний свидетелей], хотя имущество принадлежало наследодателю на день смерти, а собственного права истец не доказал (пункты 2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Имущество принадлежало наследодателю и входит в наследство.</w:t>
      </w:r>
      <w:r>
        <w:rPr>
          <w:rFonts w:ascii="Times New Roman" w:hAnsi="Times New Roman"/>
          <w:b w:val="0"/>
          <w:i w:val="0"/>
          <w:sz w:val="24"/>
        </w:rPr>
        <w:t xml:space="preserve"> Статьёй 1112 Гражданского кодекса Российской Федерации (далее — ГК РФ) установлено: «В состав наследства входят принадлежавшие наследодателю на день открытия наследства вещи, иное имущество, в том числе имущественные права и обязанности.» Право собственности наследодателя на [имущество] [зарегистрировано в ЕГРН «[дата]» / подтверждается договором купли-продажи, ПТС, документами о покупке]. Пунктом 1 статьи 131 ГК РФ установлено: «Право собственности и другие вещные права на недвижимые вещи, ограничения этих прав, их возникновение, переход и прекращение подлежат государственной регистрации в едином государственном реестре органами, осуществляющими государственную регистрацию прав на недвижимость и сделок с ней. Регистрации подлежат: право собственности, право хозяйственного ведения, право оперативного управления, право пожизненного наследуемого владения, право постоянного пользования, ипотека, сервитуты, а также иные права в случаях, предусмотренных настоящим Кодексом и иными законами.» Зарегистрированное право наследодателя истцом в установленном порядке не оспорено.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доказал собственного права на имущество.</w:t>
      </w:r>
      <w:r>
        <w:rPr>
          <w:rFonts w:ascii="Times New Roman" w:hAnsi="Times New Roman"/>
          <w:b w:val="0"/>
          <w:i w:val="0"/>
          <w:sz w:val="24"/>
        </w:rPr>
        <w:t xml:space="preserve"> Истец ссылается на [то, что передавал наследодателю деньги на покупку / пользовался имуществом / имущество было общим с наследодателем без оформления]. Однако пунктом 2 статьи 218 ГК РФ установлено: «Право собственности на имущество, которое имеет собственника, может быть приобретено другим лицом на основании договора купли-продажи, мены, дарения или иной сделки об отчуждении этого имущества.» Ни договора, ни иного основания перехода права к истцу не существует. Передача денег (если она была) порождает не право собственности, а, возможно, обязательственное требование к наследникам в пределах стоимости наследства (статья 1175 ГК РФ: «Каждый из наследников отвечает по долгам наследодателя в пределах стоимости перешедшего к нему наследственного имущества.»).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истец — переживший супруг:] Доля в общем имуществе выделяется в особом порядке.</w:t>
      </w:r>
      <w:r>
        <w:rPr>
          <w:rFonts w:ascii="Times New Roman" w:hAnsi="Times New Roman"/>
          <w:b w:val="0"/>
          <w:i w:val="0"/>
          <w:sz w:val="24"/>
        </w:rPr>
        <w:t xml:space="preserve"> Статьёй 1150 ГК РФ установлено: «Принадлежащее пережившему супругу наследодателя в силу завещания или закона право наследования не умаляет его права на часть имущества, нажитого во время брака с наследодателем и являющегося их совместной собственностью. Доля умершего супруга в этом имуществе, определяемая в соответствии со статьей 256 настоящего Кодекса, входит в состав наследства и переходит к наследникам в соответствии с правилами, установленными настоящим Кодексом.» Спорное имущество [приобретено наследодателем до брака / получено им в дар] — пунктом 2 статьи 256 ГК РФ установлено: «Имущество, принадлежавшее каждому из супругов до вступления в брак, а также полученное одним из супругов во время брака в дар или в порядке наследования, является его собственностью.» Поэтому оно является личной собственностью наследодателя и целиком входит в наследство.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Пользование имуществом не порождает права собственности.</w:t>
      </w:r>
      <w:r>
        <w:rPr>
          <w:rFonts w:ascii="Times New Roman" w:hAnsi="Times New Roman"/>
          <w:b w:val="0"/>
          <w:i w:val="0"/>
          <w:sz w:val="24"/>
        </w:rPr>
        <w:t xml:space="preserve"> То обстоятельство, что истец [проживал в квартире, пользовался автомобилем, обрабатывал участок], свидетельствует лишь о пользовании с согласия собственника. Для приобретательной давности (статья 234 ГК РФ) требуется добросовестное, открытое, непрерывное владение как своим собственным в течение 15 лет для недвижимости; истец знал, что собственником является наследодатель, и владел по его разрешению.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Иск направлен на уменьшение наследства в ущерб наследникам.</w:t>
      </w:r>
      <w:r>
        <w:rPr>
          <w:rFonts w:ascii="Times New Roman" w:hAnsi="Times New Roman"/>
          <w:b w:val="0"/>
          <w:i w:val="0"/>
          <w:sz w:val="24"/>
        </w:rPr>
        <w:t xml:space="preserve"> Права и обязанности наследодателя перешли к наследникам в порядке универсального правопреемства (пункт 1 статьи 1110 ГК РФ: «При наследовании имущество умершего (наследство, наследственное имущество) переходит к другим лицам в порядке универсального правопреемства, то есть в неизменном виде как единое целое и в один и тот же момент, если из правил настоящего Кодекса не следует иное.»). Исключение имущества из наследства без законных оснований нарушит права ответчика [и кредиторов наследодателя].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 применил исковую давность, о пропуске которой ответчик заявил в суде первой инстанции.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196 ГК РФ установлено: «Общий срок исковой давности составляет три года со дня, определяемого в соответствии со статьей 200 настоящего Кодекса.» Об открытии наследства и о своих правах истец узнал не позднее «[дата]» [похороны наследодателя / получение извещения нотариуса / разговор с ответчиком]; иск подан «[дата]». Согласно пункту 2 статьи 199 ГК РФ «Исковая давность применяется судом только по заявлению стороны в споре, сделанному до вынесения судом решения.» «Истечение срока исковой давности, о применении которой заявлено стороной в споре, является основанием к вынесению судом решения об отказе в иске.»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218, 1112 ГК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