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владелец имущества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собственник: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об истребовании имущества из чужого незаконного владения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об истребовании из незаконного владения ответчика [имущества: наименование, кадастровый номер / идентификационные признаки].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Удовлетворяя виндикационный иск, суд не проверил право собственности истца, не учёл зарегистрированное право и добросовестность ответчика, выбытие имущества из владения истца по его воле и законное основание владения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доказал право собственности на истребуемое имущество.</w:t>
      </w:r>
      <w:r>
        <w:rPr>
          <w:rFonts w:ascii="Times New Roman" w:hAnsi="Times New Roman"/>
          <w:b w:val="0"/>
          <w:i w:val="0"/>
          <w:sz w:val="24"/>
        </w:rPr>
        <w:t xml:space="preserve"> Статьёй 301 ГК РФ установлено: «Собственник вправе истребовать свое имущество из чужого незаконного владения.» Истец должен доказать своё право и индивидуальные признаки вещи, позволяющие отличить её от однородных. Представленные документы [не позволяют идентифицировать вещь / подтверждают право на иной объект / право зарегистрировано за ответчиком].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ответчика зарегистрировано и не оспорено.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8.1 ГК РФ установлено: «Зарегистрированное право может быть оспорено только в судебном порядке. Лицо, указанное в государственном реестре в качестве правообладателя, признается таковым, пока в установленном законом порядке в реестр не внесена запись об ином.» Право ответчика зарегистрировано в ЕГРН «[дата]» (запись № [__]); основание — [договор, акт ввода, решение суда]. Пока регистрация не оспорена в установленном порядке, ответчик признаётся правообладателем.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— добросовестный приобретатель.</w:t>
      </w:r>
      <w:r>
        <w:rPr>
          <w:rFonts w:ascii="Times New Roman" w:hAnsi="Times New Roman"/>
          <w:b w:val="0"/>
          <w:i w:val="0"/>
          <w:sz w:val="24"/>
        </w:rPr>
        <w:t xml:space="preserve"> Абзацем третьим пункта 6 статьи 8.1 ГК РФ установлено: «Приобретатель недвижимого имущества, полагавшийся при его приобретении на данные государственного реестра, признается добросовестным (статьи 234 и 302), пока в судебном порядке не доказано, что он знал или должен был знать об отсутствии права на отчуждение этого имущества у лица, от которого ему перешли права на него.» Ответчик приобрёл имущество возмездно по цене [сумма] рублей, соответствующей рыночной, проверив [выписку из ЕГРН, отсутствие арестов и споров, полномочия продавца]; отметок о возражении или судебном споре в реестре не было.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Имущество выбыло из владения истца по его воле.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302 ГК РФ установлено: «Если имущество возмездно приобретено у лица, которое не имело права его отчуждать, о чем приобретатель не знал и не мог знать (добросовестный приобретатель), то собственник вправе истребовать это имущество от приобретателя в случае, когда имущество утеряно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воли.» Истец [сам передал имущество по договору с [наименование] / его директор подписал документы о продаже]; последующие споры истца с этим лицом не делают владение ответчика незаконным.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Владение ответчика законно.</w:t>
      </w:r>
      <w:r>
        <w:rPr>
          <w:rFonts w:ascii="Times New Roman" w:hAnsi="Times New Roman"/>
          <w:b w:val="0"/>
          <w:i w:val="0"/>
          <w:sz w:val="24"/>
        </w:rPr>
        <w:t xml:space="preserve"> Ответчик владеет имуществом [на основании договора аренды (лизинга, хранения) с собственником / в силу удержания до оплаты]; незаконного владения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 удовлетворении иска подлежат возмещению затраты ответчика.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статьи 303 ГК РФ: «Владелец, как добросовестный, так и недобросовестный, в свою очередь вправе требовать от собственника возмещения произведенных им необходимых затрат на имущество с того времени, с которого собственнику причитаются доходы от имущества.» Ответчик понёс необходимые затраты на [содержание, охрану, налоги] в сумме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8.1, 301, 302, 303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