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лизингополучатель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лизингодатель: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об истребовании (изъятии) предмета лизинга и взыскании судебной неустойки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об истребовании (изъятии) предмета лизинга [наименование] и взыскании судебной неустойки.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Изымая предмет лизинга, суд не учёл, что договор не расторгнут: уведомление об отказе не получено, лизингодатель после «расторжения» принимал платежи, а лизингополучатель уплатил большую часть лизинговых платежей (пункты 1 и 4 части 1 статьи 270 АПК РФ).</w:t>
      </w:r>
    </w:p>
    <w:p>
      <w:pPr>
        <w:spacing w:after="120" w:line="276" w:lineRule="auto"/>
        <w:ind w:firstLine="709"/>
        <w:jc w:val="both"/>
      </w:pPr>
      <w:r>
        <w:rPr>
          <w:rFonts w:ascii="Times New Roman" w:hAnsi="Times New Roman"/>
          <w:b/>
          <w:i w:val="0"/>
          <w:sz w:val="24"/>
        </w:rPr>
        <w:t>Договор не расторгнут: уведомление об отказе не получено [или основания для отказа отсутствовали].</w:t>
      </w:r>
      <w:r>
        <w:rPr>
          <w:rFonts w:ascii="Times New Roman" w:hAnsi="Times New Roman"/>
          <w:b w:val="0"/>
          <w:i w:val="0"/>
          <w:sz w:val="24"/>
        </w:rPr>
        <w:t xml:space="preserve"> Пунктом 1 статьи 450.1 ГК РФ установлено: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Уведомление направлено по [ненадлежащему адресу]; кроме того, на дату его направления просрочки, дающей право на отказ по пункту [__] договора [более двух платежей подряд], не было — платежи от «[дата]» и «[дата]» внесены (платёжные поручения).</w:t>
      </w:r>
    </w:p>
    <w:p>
      <w:pPr>
        <w:spacing w:after="120" w:line="276" w:lineRule="auto"/>
        <w:ind w:firstLine="709"/>
        <w:jc w:val="both"/>
      </w:pPr>
      <w:r>
        <w:rPr>
          <w:rFonts w:ascii="Times New Roman" w:hAnsi="Times New Roman"/>
          <w:b/>
          <w:i w:val="0"/>
          <w:sz w:val="24"/>
        </w:rPr>
        <w:t>Лизингодатель подтвердил действие договора после «расторжения».</w:t>
      </w:r>
      <w:r>
        <w:rPr>
          <w:rFonts w:ascii="Times New Roman" w:hAnsi="Times New Roman"/>
          <w:b w:val="0"/>
          <w:i w:val="0"/>
          <w:sz w:val="24"/>
        </w:rPr>
        <w:t xml:space="preserve"> Лизингодатель [продолжал выставлять счета на лизинговые платежи, принимал платежи после направления уведомления]. Пунктом 5 статьи 450.1 ГК РФ установлено: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p>
      <w:pPr>
        <w:spacing w:after="120" w:line="276" w:lineRule="auto"/>
        <w:ind w:firstLine="709"/>
        <w:jc w:val="both"/>
      </w:pPr>
      <w:r>
        <w:rPr>
          <w:rFonts w:ascii="Times New Roman" w:hAnsi="Times New Roman"/>
          <w:b/>
          <w:i w:val="0"/>
          <w:sz w:val="24"/>
        </w:rPr>
        <w:t>Лизингополучатель уплатил большую часть лизинговых платежей, и изъятие несоразмерно.</w:t>
      </w:r>
      <w:r>
        <w:rPr>
          <w:rFonts w:ascii="Times New Roman" w:hAnsi="Times New Roman"/>
          <w:b w:val="0"/>
          <w:i w:val="0"/>
          <w:sz w:val="24"/>
        </w:rPr>
        <w:t xml:space="preserve"> Выплачено [__] % общей суммы платежей, остаток — [сумма] рублей; лизингополучатель готов погасить его [в течение [__] дней / по графику, предложенному письмом от «[дата]»]. Изъятие при такой степени исполнения ведёт к утрате лизингополучателем значительных вложений и не соответствует принципу добросовестности (пункт 3 статьи 1 ГК РФ; пункт 4 статьи 450.1 ГК РФ: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Требование о судебной неустойке завышено.</w:t>
      </w:r>
      <w:r>
        <w:rPr>
          <w:rFonts w:ascii="Times New Roman" w:hAnsi="Times New Roman"/>
          <w:b w:val="0"/>
          <w:i w:val="0"/>
          <w:sz w:val="24"/>
        </w:rPr>
        <w:t xml:space="preserve"> Пунктом 1 статьи 308.3 ГК РФ предусмотрено: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Размер [сумма] рублей в день не соответствует принципам справедливости и соразмерности; предмет лизинга используется в производственной деятельности, и для его возврата требуется [демонтаж, транспортировка] не менее [__] дней.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165.1, 450.1, 622, 308.3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