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истребовании жилого помещения из чужого незаконного владения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истребовании [квартиры] по адресу [__] из владения ответчика [и признании права собственности истца].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Истребуя квартиру, суд не учёл, что ответчик — добросовестный приобретатель по возмездной сделке, а квартира выбыла из владения истца по его воле; такие обстоятельства исключают виндикацию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владеет помещением на законном основании.</w:t>
      </w:r>
      <w:r>
        <w:rPr>
          <w:rFonts w:ascii="Times New Roman" w:hAnsi="Times New Roman"/>
          <w:b w:val="0"/>
          <w:i w:val="0"/>
          <w:sz w:val="24"/>
        </w:rPr>
        <w:t xml:space="preserve"> Статьёй 301 Гражданского кодекса Российской Федерации (далее — ГК РФ) установлено: «Собственник вправе истребовать свое имущество из чужого незаконного владения.» Истец должен доказать своё право собственности и незаконность владения ответчика. Ответчик приобрёл квартиру по договору [купли-продажи] от «[дата]», право собственности зарегистрировано в ЕГРН «[дата]»; владение ответчика основано на зарегистрированном праве и законным не перестаёт, пока это право не оспорено.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— добросовестный приобретатель.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302 ГК РФ установлено: «Если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воли.» Ответчик приобрёл квартиру возмездно, по рыночной цене [сумма] рублей, оплаченной [безналичным платежом / через аккредитив — документы прилагаются]. Перед покупкой ответчик [получил выписку из ЕГРН, где собственником значился продавец; проверил отсутствие арестов и споров; осмотрел квартиру; сделку сопровождал банк (риелтор, нотариус)]. Ответчик не знал и не мог знать, что продавец не вправе отчуждать имущество. Пунктом 5 статьи 10 ГК РФ установлено: «Добросовестность участников гражданских правоотношений и разумность их действий предполагаются.»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Имущество выбыло из владения истца по его воле.</w:t>
      </w:r>
      <w:r>
        <w:rPr>
          <w:rFonts w:ascii="Times New Roman" w:hAnsi="Times New Roman"/>
          <w:b w:val="0"/>
          <w:i w:val="0"/>
          <w:sz w:val="24"/>
        </w:rPr>
        <w:t xml:space="preserve"> Истец сам [продал квартиру / выдал доверенность на продажу / передал квартиру и документы] — то есть имущество выбыло из его владения по его воле, даже если впоследствии сделка оспорена. Утверждение о «выбытии помимо воли» истец не доказал [приговором, заключением почерковедческой экспертизы].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иск предъявлен публичным образованием:] Защита добросовестного приобретателя усилена.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302 ГК РФ установлено: «Суд отказывает в удовлетворении требования субъекта гражданского права, указанного в пункте 1 статьи 124 настоящего Кодекса, об истребовании жилого помещения у добросовестного приобретателя, не являющегося таким субъектом гражданского права, во всех случаях,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помещения. При этом бремя доказывания обстоятельств, свидетельствующих о недобросовестности приобретателя, или обстоятельств выбытия жилого помещения из владения истца несет субъект гражданского права, указанный в пункте 1 статьи 124 настоящего Кодекса.» Право ответчика было зарегистрировано, а орган [не принял мер к выявлению имущества в течение трёх лет / знал о сделках].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применил исковую давность, о пропуске которой ответчик заявил в суде первой инстанции.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196 ГК РФ установлено: «Общий срок исковой давности составляет три года со дня, определяемого в соответствии со статьей 200 настоящего Кодекса.» О выбытии квартиры истец узнал [или должен был узнать] «[дата]» — [когда перестал получать квитанции / когда выдал доверенность / из выписки ЕГРН]. Иск подан «[дата]».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Никто не может быть произвольно лишён жилища.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Выселение и ограничение права пользования жилищем допустимы лишь по основаниям, прямо предусмотренным законом, и только при доказанности каждого из этих оснований истцом.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Документы о праве собственности, представленные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Суд первой инстанции положил эти документы в основу решения, не устранив сомнений в их достоверности.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301, 302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