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Министерство финансов Российской Федерации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Министерство финансов Российской Федерации в лице УФК по [субъекту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компенсации морального вреда, причинённого незаконным уголовным преследованием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с Российской Федерации в лице Министерства финансов Российской Федерации за счёт казны компенсации морального вреда, причинённого незаконным уголовным преследованием, в размере [сумма] рублей.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Определяя размер компенсации, суд не учёл критерии пункта 2 статьи 1101 ГК РФ: продолжительность преследования, вид меры пресечения, частичную реабилитацию истца и сложившуюся практику по аналогичным делам; присуждённая сумма явно завышена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компенсацию не оспаривается, но её размер завышен.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1070 Гражданского кодекса Российской Федерации (далее — ГК РФ) установлено: «Вред, причиненный гражданину в результате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привлечения к административной ответственности в виде административного ареста, а также вред,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деятельности, возмещается за счет казны Российской Федерации, а в случаях, предусмотренных законом, за счет казны субъекта Российской Федерации или казны муниципального образования в полном объеме независимо от вины должностных лиц органов дознания, предварительного следствия, прокуратуры и суда в порядке, установленном законом.» Абзацем третьим статьи 1100 ГК РФ: «вред причинен гражданину в результате его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наложения административного взыскания в виде ареста или исправительных работ» Ответчик признаёт право истца на компенсацию после [прекращения уголовного дела по реабилитирующему основанию / оправдательного приговора], однако заявленная сумма [сумма] рублей явно несоразмерна.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Критерии размера компенсации.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Суд учитывает продолжительность преследования, тяжесть обвинения, применявшуюся меру пресечения, индивидуальные особенности истца. Уголовное преследование длилось [__] месяцев; истец обвинялся в преступлении [небольшой / средней] тяжести; мерой пресечения была [подписка о невыезде / обязательство о явке], под стражей истец не содержался; [часть обвинения сохранена / прекращено лишь по одному из эпизодов]. Доказательств особых последствий (утраты работы, ухудшения здоровья, распространения сведений в СМИ) истец не представил.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Частичная реабилитация уменьшает компенсацию.</w:t>
      </w:r>
      <w:r>
        <w:rPr>
          <w:rFonts w:ascii="Times New Roman" w:hAnsi="Times New Roman"/>
          <w:b w:val="0"/>
          <w:i w:val="0"/>
          <w:sz w:val="24"/>
        </w:rPr>
        <w:t xml:space="preserve"> [Истец оправдан лишь по части обвинения, по другим эпизодам осуждён (или дело прекращено по нереабилитирующему основанию); компенсация присуждается только в связи с той частью преследования, которая признана незаконной.]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Практика по аналогичным делам.</w:t>
      </w:r>
      <w:r>
        <w:rPr>
          <w:rFonts w:ascii="Times New Roman" w:hAnsi="Times New Roman"/>
          <w:b w:val="0"/>
          <w:i w:val="0"/>
          <w:sz w:val="24"/>
        </w:rPr>
        <w:t xml:space="preserve"> Суды при сходных обстоятельствах [длительность, мера пресечения, тяжесть] присуждают компенсацию в размере [__] рублей. Заявленная сумма многократно превышает сложившийся уровень и ведёт к необоснованному обогащению за счёт бюджета.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Надлежащий ответчик.</w:t>
      </w:r>
      <w:r>
        <w:rPr>
          <w:rFonts w:ascii="Times New Roman" w:hAnsi="Times New Roman"/>
          <w:b w:val="0"/>
          <w:i w:val="0"/>
          <w:sz w:val="24"/>
        </w:rPr>
        <w:t xml:space="preserve"> Статьёй 1071 ГК РФ установлено: «В случаях, когда в соответствии с настоящим Кодексом или другими законами причиненный вред подлежит возмещению за счет казны Российской Федерации, казны субъекта Российской Федерации или казны муниципального образования, от имени казны выступают соответствующие финансовые органы, если в соответствии с пунктом 3 статьи 125 настоящего Кодекса эта обязанность не возложена на другой орган, юридическое лицо или гражданина.» Ответчиком является Российская Федерация в лице Министерства финансов РФ; [следственный орган / прокуратура] — третьи лица. Требования к иным лицам заявлены необоснованно.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Материальный ущерб — в ином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Возмещение имущественного вреда реабилитированному (утраченный заработок, расходы на защитника) производится в порядке главы 18 УПК РФ, а не по правилам искового производства [если истец заявил такие требования, суд должен был оставить их без рассмотрения].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1070, 1071, 1100, 1101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