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недействительным отказа от наследства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недействительным отказа истца от наследства, удостоверенного нотариусом «[дата]», и признании права на долю в наследственном имуществе.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отказ недействительным, суд сослался на [заблуждение истца относительно состава наследства / уговоры родственников], хотя отказ от наследства безотзывен, нотариус разъяснил истцу последствия, а пороки воли, предусмотренные статьями 177–179 ГК РФ, не доказаны (пункты 2 и 4 части 1 статьи 330 ГПК РФ).</w:t>
      </w:r>
    </w:p>
    <w:p>
      <w:pPr>
        <w:spacing w:after="120" w:line="276" w:lineRule="auto"/>
        <w:ind w:firstLine="709"/>
        <w:jc w:val="both"/>
      </w:pPr>
      <w:r>
        <w:rPr>
          <w:rFonts w:ascii="Times New Roman" w:hAnsi="Times New Roman"/>
          <w:b/>
          <w:i w:val="0"/>
          <w:sz w:val="24"/>
        </w:rPr>
        <w:t>Отказ от наследства — окончательное и безотзывное волеизъявление.</w:t>
      </w:r>
      <w:r>
        <w:rPr>
          <w:rFonts w:ascii="Times New Roman" w:hAnsi="Times New Roman"/>
          <w:b w:val="0"/>
          <w:i w:val="0"/>
          <w:sz w:val="24"/>
        </w:rPr>
        <w:t xml:space="preserve"> Пунктом 1 статьи 1157 Гражданского кодекса Российской Федерации (далее — ГК РФ) установлено: «Наследник вправе отказаться от наследства в пользу других лиц (статья 1158) или без указания лиц, в пользу которых он отказывается от наследственного имущества.» Пунктом 3 той же статьи: «Отказ от наследства не может быть впоследствии изменен или взят обратно.» Истец добровольно подал нотариусу заявление об отказе от наследства [в пользу ответчика] «[дата]». Нотариус удостоверил подпись истца, разъяснил ему последствия отказа, что отражено в тексте заявления [процитировать]. Желание вернуть наследство после того, как [стоимость имущества оказалась выше ожидаемой / отношения с ответчиком испортились], не является основанием для признания отказа недействительным.</w:t>
      </w:r>
    </w:p>
    <w:p>
      <w:pPr>
        <w:spacing w:after="120" w:line="276" w:lineRule="auto"/>
        <w:ind w:firstLine="709"/>
        <w:jc w:val="both"/>
      </w:pPr>
      <w:r>
        <w:rPr>
          <w:rFonts w:ascii="Times New Roman" w:hAnsi="Times New Roman"/>
          <w:b/>
          <w:i w:val="0"/>
          <w:sz w:val="24"/>
        </w:rPr>
        <w:t>Заблуждения не было.</w:t>
      </w:r>
      <w:r>
        <w:rPr>
          <w:rFonts w:ascii="Times New Roman" w:hAnsi="Times New Roman"/>
          <w:b w:val="0"/>
          <w:i w:val="0"/>
          <w:sz w:val="24"/>
        </w:rPr>
        <w:t xml:space="preserve"> Пунктом 1 статьи 178 ГК РФ установлено: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Истец знал состав наследства [квартира, вклад — сведения были в наследственном деле] и понимал природу сделки. Заблуждение относительно мотивов — например, ожидание, что ответчик выплатит компенсацию или позволит пользоваться квартирой, — существенным не является: пунктом 3 статьи 178 ГК РФ установлено: «Заблуждение относительно мотивов сделки не является достаточно существенным для признания сделки недействительной.»</w:t>
      </w:r>
    </w:p>
    <w:p>
      <w:pPr>
        <w:spacing w:after="120" w:line="276" w:lineRule="auto"/>
        <w:ind w:firstLine="709"/>
        <w:jc w:val="both"/>
      </w:pPr>
      <w:r>
        <w:rPr>
          <w:rFonts w:ascii="Times New Roman" w:hAnsi="Times New Roman"/>
          <w:b/>
          <w:i w:val="0"/>
          <w:sz w:val="24"/>
        </w:rPr>
        <w:t>Обмана, угрозы и неспособности понимать значение действий истец не доказал.</w:t>
      </w:r>
      <w:r>
        <w:rPr>
          <w:rFonts w:ascii="Times New Roman" w:hAnsi="Times New Roman"/>
          <w:b w:val="0"/>
          <w:i w:val="0"/>
          <w:sz w:val="24"/>
        </w:rPr>
        <w:t xml:space="preserve"> Пунктом 2 статьи 179 ГК РФ установлено: «Сделка, совершенная под влиянием обмана, может быть признана судом недействительной по иску потерпевшего.» [Ответчик никаких обещаний не давал / устные договорённости о компенсации ничем не подтверждены.] Пунктом 1 статьи 177 ГК РФ предусмотрено: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Истец на учётах у психиатра не состоит, [в день отказа вёл обычную жизнь, работал], нотариус проверил его дееспособность. Ходатайство о назначении судебно-психиатрической экспертизы без медицинских документов, указывающих на расстройство, не имеет оснований.</w:t>
      </w:r>
    </w:p>
    <w:p>
      <w:pPr>
        <w:spacing w:after="120" w:line="276" w:lineRule="auto"/>
        <w:ind w:firstLine="709"/>
        <w:jc w:val="both"/>
      </w:pPr>
      <w:r>
        <w:rPr>
          <w:rFonts w:ascii="Times New Roman" w:hAnsi="Times New Roman"/>
          <w:b/>
          <w:i w:val="0"/>
          <w:sz w:val="24"/>
        </w:rPr>
        <w:t>Срок для отказа соблюдён, отказ надлежаще оформлен.</w:t>
      </w:r>
      <w:r>
        <w:rPr>
          <w:rFonts w:ascii="Times New Roman" w:hAnsi="Times New Roman"/>
          <w:b w:val="0"/>
          <w:i w:val="0"/>
          <w:sz w:val="24"/>
        </w:rPr>
        <w:t xml:space="preserve"> Пунктом 2 статьи 1157 ГК РФ установлено: «Наследник вправе отказаться от наследства в течение срока, установленного для принятия наследства (статья 1154), в том числе в случае, когда он уже принял наследство.» Отказ совершён в пределах срока и в предусмотренной законом форме (подача заявления нотариусу, статья 1159 ГК РФ). Указанное в пункте 1 статьи 1158 ГК РФ ограничение круга лиц, в пользу которых возможен отказ, соблюдено: «Наследник вправе отказаться от наследства в пользу других лиц из числа наследников по завещанию или наследников по закону любой очереди независимо от призвания к наследованию, не лишенных наследства (пункт 1 статьи 1119), а также в пользу тех, которые призваны к наследованию по праву представления (статья 1146) или в порядке наследственной трансмиссии (статья 1156).»</w:t>
      </w:r>
    </w:p>
    <w:p>
      <w:pPr>
        <w:spacing w:after="120" w:line="276" w:lineRule="auto"/>
        <w:ind w:firstLine="709"/>
        <w:jc w:val="both"/>
      </w:pPr>
      <w:r>
        <w:rPr>
          <w:rFonts w:ascii="Times New Roman" w:hAnsi="Times New Roman"/>
          <w:b/>
          <w:i w:val="0"/>
          <w:sz w:val="24"/>
        </w:rPr>
        <w:t>Ответчик принял наследство и распорядился им [понёс расходы].</w:t>
      </w:r>
      <w:r>
        <w:rPr>
          <w:rFonts w:ascii="Times New Roman" w:hAnsi="Times New Roman"/>
          <w:b w:val="0"/>
          <w:i w:val="0"/>
          <w:sz w:val="24"/>
        </w:rPr>
        <w:t xml:space="preserve"> На основании отказа истца ответчик получил свидетельство о праве на наследство «[дата]», [зарегистрировал право собственности, произвёл ремонт на сумму [сумма] рублей, погасил долги наследодателя]. Признание отказа недействительным нарушит стабильность гражданского оборота и права ответчика.</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Требование основано на оспоримости сделки (статьи 177–179 ГК РФ).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Отказ совершён «[дата]»; об обстоятельствах, на которые он ссылается, истец знал [с момента подписания / с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1157, 1159, 177–179, 181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