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недействительным соглашения об уплате алиментов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недействительным нотариально удостоверенного соглашения об уплате алиментов от «[дата]» (реестровый № [__]).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соглашение недействительным, суд не установил ни пороков воли истца, ни нарушения интересов ребёнка: размер алиментов по соглашению не ниже установленного законом, а изменение обстоятельств — основание для изменения соглашения, но не для признания его недействительным (пункты 1 и 4 части 1 статьи 330 ГПК РФ).</w:t>
      </w:r>
    </w:p>
    <w:p>
      <w:pPr>
        <w:spacing w:after="120" w:line="276" w:lineRule="auto"/>
        <w:ind w:firstLine="709"/>
        <w:jc w:val="both"/>
      </w:pPr>
      <w:r>
        <w:rPr>
          <w:rFonts w:ascii="Times New Roman" w:hAnsi="Times New Roman"/>
          <w:b/>
          <w:i w:val="0"/>
          <w:sz w:val="24"/>
        </w:rPr>
        <w:t>Соглашение заключено в надлежащей форме и по свободной воле сторон.</w:t>
      </w:r>
      <w:r>
        <w:rPr>
          <w:rFonts w:ascii="Times New Roman" w:hAnsi="Times New Roman"/>
          <w:b w:val="0"/>
          <w:i w:val="0"/>
          <w:sz w:val="24"/>
        </w:rPr>
        <w:t xml:space="preserve"> Статьёй 99 Семейного кодекса Российской Федерации (далее — СК РФ) установлено: «Соглашение об уплате алиментов (размере, условиях и порядке выплаты алиментов) заключается между лицом, обязанным уплачивать алименты, и их получателем, а при недееспособности лица, обязанного уплачивать алименты, и (или) получателя алиментов - между законными представителями этих лиц. Не полностью дееспособные лица заключают соглашение об уплате алиментов с согласия их законных представителей.» Пунктом 1 статьи 100 СК РФ предусмотрено: «Соглашение об уплате алиментов заключается в письменной форме и подлежит нотариальному удостоверению.» Соглашение удостоверено нотариусом, который разъяснил сторонам его содержание и последствия. Истец подписал соглашение лично, [сам предложил его условия]; соглашение исполняется [__] лет без претензий.</w:t>
      </w:r>
    </w:p>
    <w:p>
      <w:pPr>
        <w:spacing w:after="120" w:line="276" w:lineRule="auto"/>
        <w:ind w:firstLine="709"/>
        <w:jc w:val="both"/>
      </w:pPr>
      <w:r>
        <w:rPr>
          <w:rFonts w:ascii="Times New Roman" w:hAnsi="Times New Roman"/>
          <w:b/>
          <w:i w:val="0"/>
          <w:sz w:val="24"/>
        </w:rPr>
        <w:t>Размер алиментов по соглашению не ниже установленного законом минимума.</w:t>
      </w:r>
      <w:r>
        <w:rPr>
          <w:rFonts w:ascii="Times New Roman" w:hAnsi="Times New Roman"/>
          <w:b w:val="0"/>
          <w:i w:val="0"/>
          <w:sz w:val="24"/>
        </w:rPr>
        <w:t xml:space="preserve"> Пунктом 2 статьи 103 СК РФ установлено: «Размер алиментов, устанавливаемый по соглашению об уплате алиментов на несовершеннолетних детей, не может быть ниже размера алиментов, которые они могли бы получить при взыскании алиментов в судебном порядке (статья 81 настоящего Кодекса).» По соглашению ответчик уплачивает [сумма] рублей ежемесячно [либо __ % дохода], а [1/4] его официального дохода составляет [сумма] рублей — меньше суммы по соглашению. [Кроме того, по соглашению ответчик передал ребёнку [долю в квартире / оплачивает обучение и лечение], что также является формой содержания.] Расчёт прилагается.</w:t>
      </w:r>
    </w:p>
    <w:p>
      <w:pPr>
        <w:spacing w:after="120" w:line="276" w:lineRule="auto"/>
        <w:ind w:firstLine="709"/>
        <w:jc w:val="both"/>
      </w:pPr>
      <w:r>
        <w:rPr>
          <w:rFonts w:ascii="Times New Roman" w:hAnsi="Times New Roman"/>
          <w:b/>
          <w:i w:val="0"/>
          <w:sz w:val="24"/>
        </w:rPr>
        <w:t>Интересы ребёнка соглашением не нарушены.</w:t>
      </w:r>
      <w:r>
        <w:rPr>
          <w:rFonts w:ascii="Times New Roman" w:hAnsi="Times New Roman"/>
          <w:b w:val="0"/>
          <w:i w:val="0"/>
          <w:sz w:val="24"/>
        </w:rPr>
        <w:t xml:space="preserve"> Статьёй 102 СК РФ установлено: «Если предусмотренные соглашением об уплате алиментов условия предоставления содержания несовершеннолетнему ребенку или совершеннолетнему недееспособному члену семьи существенно нарушают их интересы, в частности в случае несоблюдения требований пункта 2 статьи 103 настоящего Кодекса, такое соглашение может быть признано недействительным в судебном порядке по требованию законного представителя несовершеннолетнего ребенка или совершеннолетнего недееспособного члена семьи, а также органа опеки и попечительства или прокурора.» Соглашение может быть признано недействительным по этому основанию только при существенном нарушении интересов ребёнка. Условия соглашения обеспечивают ребёнку уровень содержания не ниже того, на который он мог бы рассчитывать при взыскании в судебном порядке. [Доход ответчика с момента заключения соглашения не увеличился / снизился.]</w:t>
      </w:r>
    </w:p>
    <w:p>
      <w:pPr>
        <w:spacing w:after="120" w:line="276" w:lineRule="auto"/>
        <w:ind w:firstLine="709"/>
        <w:jc w:val="both"/>
      </w:pPr>
      <w:r>
        <w:rPr>
          <w:rFonts w:ascii="Times New Roman" w:hAnsi="Times New Roman"/>
          <w:b/>
          <w:i w:val="0"/>
          <w:sz w:val="24"/>
        </w:rPr>
        <w:t>Обмана, заблуждения и иных пороков воли не было.</w:t>
      </w:r>
      <w:r>
        <w:rPr>
          <w:rFonts w:ascii="Times New Roman" w:hAnsi="Times New Roman"/>
          <w:b w:val="0"/>
          <w:i w:val="0"/>
          <w:sz w:val="24"/>
        </w:rPr>
        <w:t xml:space="preserve"> Пунктом 1 статьи 101 СК РФ установлено: «К заключению, исполнению, расторжению и признанию недействительным соглашения об уплате алиментов применяются нормы Гражданского кодекса Российской Федерации, регулирующие заключение, исполнение, расторжение и признание недействительными гражданско-правовых сделок.» Согласно пункту 2 статьи 179 Гражданского кодекса Российской Федерации (далее — ГК РФ) «Сделка, совершенная под влиянием обмана, может быть признана судом недействительной по иску потерпевшего.» Истец не указал, какие именно сведения ответчик сообщил ложно. Изменение доходов ответчика после заключения соглашения не является обманом.</w:t>
      </w:r>
    </w:p>
    <w:p>
      <w:pPr>
        <w:spacing w:after="120" w:line="276" w:lineRule="auto"/>
        <w:ind w:firstLine="709"/>
        <w:jc w:val="both"/>
      </w:pPr>
      <w:r>
        <w:rPr>
          <w:rFonts w:ascii="Times New Roman" w:hAnsi="Times New Roman"/>
          <w:b/>
          <w:i w:val="0"/>
          <w:sz w:val="24"/>
        </w:rPr>
        <w:t>Изменение обстоятельств — основание для изменения соглашения, а не для его недействительности.</w:t>
      </w:r>
      <w:r>
        <w:rPr>
          <w:rFonts w:ascii="Times New Roman" w:hAnsi="Times New Roman"/>
          <w:b w:val="0"/>
          <w:i w:val="0"/>
          <w:sz w:val="24"/>
        </w:rPr>
        <w:t xml:space="preserve"> Пунктом 4 статьи 101 СК РФ установлено: «В случае существенного изменения материального или семейного положения сторон и при недостижении соглашения об изменении или о расторжении соглашения об уплате алиментов заинтересованная сторона вправе обратиться в суд с иском об изменении или о расторжении этого соглашения. При решении вопроса об изменении или о расторжении соглашения об уплате алиментов суд вправе учесть любой заслуживающий внимания интерес сторон.» Если истец полагает, что положение сторон изменилось, закон предусматривает иной способ защиты — требование об изменении соглашения, а не признание его недействительным с момента заключения.</w:t>
      </w:r>
    </w:p>
    <w:p>
      <w:pPr>
        <w:spacing w:after="120" w:line="276" w:lineRule="auto"/>
        <w:ind w:firstLine="709"/>
        <w:jc w:val="both"/>
      </w:pPr>
      <w:r>
        <w:rPr>
          <w:rFonts w:ascii="Times New Roman" w:hAnsi="Times New Roman"/>
          <w:b/>
          <w:i w:val="0"/>
          <w:sz w:val="24"/>
        </w:rPr>
        <w:t>Истец своим поведением подтвердил действие соглашения.</w:t>
      </w:r>
      <w:r>
        <w:rPr>
          <w:rFonts w:ascii="Times New Roman" w:hAnsi="Times New Roman"/>
          <w:b w:val="0"/>
          <w:i w:val="0"/>
          <w:sz w:val="24"/>
        </w:rPr>
        <w:t xml:space="preserve"> Абзацем четвёртым пункта 2 статьи 166 ГК РФ установлено: «Сторона,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 Истец [__] лет принимал исполнение, не заявляя возражений.</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Соглашение — оспоримая сделка.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Соглашение заключено «[дата]», истец знал о его условиях с этого дня, иск подан «[дата]». Пунктом 2 статьи 199 ГК РФ: «Исковая давность применяется судом только по заявлению стороны в споре, сделанному до вынесения судом решения.»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99–103 СК РФ, 181, 199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