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признании завещания недействительным</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признании недействительным завещания [Ф. И. О. наследодателя] от «[дата]», удостоверенного нотариусом [Ф. И. О.] (реестровый № [__]).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Признавая завещание недействительным, суд положил в основу [заключение посмертной экспертизы, сделанное в вероятностной форме / показания родственников истца] и не оценил медицинскую документацию, показания нотариуса и лиц, общавшихся с наследодателем в день составления завещания (пункты 2 и 3 части 1 статьи 330 ГПК РФ).</w:t>
      </w:r>
    </w:p>
    <w:p>
      <w:pPr>
        <w:spacing w:after="120" w:line="276" w:lineRule="auto"/>
        <w:ind w:firstLine="709"/>
        <w:jc w:val="both"/>
      </w:pPr>
      <w:r>
        <w:rPr>
          <w:rFonts w:ascii="Times New Roman" w:hAnsi="Times New Roman"/>
          <w:b/>
          <w:i w:val="0"/>
          <w:sz w:val="24"/>
        </w:rPr>
        <w:t>Завещание выражает свободную волю наследодателя.</w:t>
      </w:r>
      <w:r>
        <w:rPr>
          <w:rFonts w:ascii="Times New Roman" w:hAnsi="Times New Roman"/>
          <w:b w:val="0"/>
          <w:i w:val="0"/>
          <w:sz w:val="24"/>
        </w:rPr>
        <w:t xml:space="preserve"> Пунктом 1 статьи 1119 Гражданского кодекса Российской Федерации (далее — ГК РФ) установлено: «Завещатель вправе по своему усмотрению завещать имущество любым лицам, любым образом определить доли наследников в наследстве, лишить наследства одного, нескольких или всех наследников по закону, не указывая причин такого лишения, а в случаях, предусмотренных настоящим Кодексом, включить в завещание иные распоряжения. Завещатель вправе отменить или изменить совершенное завещание в соответствии с правилами статьи 1130 настоящего Кодекса.» Пунктом 5 статьи 1118 ГК РФ: «Завещание является односторонней сделкой, которая создает права и обязанности после открытия наследства.» Наследодатель [на протяжении многих лет проживал с ответчиком / ответчик ухаживал за ним], поэтому его решение завещать имущество ответчику было логичным и последовательным. [Наследодатель ранее говорил о своём намерении знакомым и соседям.]</w:t>
      </w:r>
    </w:p>
    <w:p>
      <w:pPr>
        <w:spacing w:after="120" w:line="276" w:lineRule="auto"/>
        <w:ind w:firstLine="709"/>
        <w:jc w:val="both"/>
      </w:pPr>
      <w:r>
        <w:rPr>
          <w:rFonts w:ascii="Times New Roman" w:hAnsi="Times New Roman"/>
          <w:b/>
          <w:i w:val="0"/>
          <w:sz w:val="24"/>
        </w:rPr>
        <w:t>Наследодатель был дееспособен и понимал значение своих действий.</w:t>
      </w:r>
      <w:r>
        <w:rPr>
          <w:rFonts w:ascii="Times New Roman" w:hAnsi="Times New Roman"/>
          <w:b w:val="0"/>
          <w:i w:val="0"/>
          <w:sz w:val="24"/>
        </w:rPr>
        <w:t xml:space="preserve"> Пунктом 2 статьи 1118 ГК РФ установлено: «Завещание может быть совершено гражданином, обладающим в момент его совершения дееспособностью в полном объеме.» Пунктом 1 статьи 177 ГК РФ предусмотрено: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 Наследодатель на учёте у психиатра не состоял, недееспособным не признавался; в период составления завещания он [самостоятельно получал пенсию, ходил в магазин, общался с соседями, совершал другие сделки — оформлял доверенности, банковские операции]. Наличие у пожилого человека хронических заболеваний (гипертония, перенесённый инсульт) само по себе не означает неспособности понимать значение своих действий. Нотариус проверил дееспособность завещателя.</w:t>
      </w:r>
    </w:p>
    <w:p>
      <w:pPr>
        <w:spacing w:after="120" w:line="276" w:lineRule="auto"/>
        <w:ind w:firstLine="709"/>
        <w:jc w:val="both"/>
      </w:pPr>
      <w:r>
        <w:rPr>
          <w:rFonts w:ascii="Times New Roman" w:hAnsi="Times New Roman"/>
          <w:b/>
          <w:i w:val="0"/>
          <w:sz w:val="24"/>
        </w:rPr>
        <w:t>Форма и порядок совершения завещания соблюдены.</w:t>
      </w:r>
      <w:r>
        <w:rPr>
          <w:rFonts w:ascii="Times New Roman" w:hAnsi="Times New Roman"/>
          <w:b w:val="0"/>
          <w:i w:val="0"/>
          <w:sz w:val="24"/>
        </w:rPr>
        <w:t xml:space="preserve"> Пунктом 1 статьи 1124 ГК РФ установлено: «Завещание должно быть составлено в письменной форме и удостоверено нотариусом. Удостоверение завещания другими лицами допускается в случаях, предусмотренных пунктом 7 статьи 1125, статьей 1127 и пунктом 2 статьи 1128 настоящего Кодекса.» Завещание [написано / записано нотариусом со слов завещателя], прочитано и собственноручно подписано завещателем (пункт 3 статьи 1125 ГК РФ: «Завещание должно быть собственноручно подписано завещателем.»), удостоверено нотариусом; дата и место удостоверения указаны. [Если завещание подписал рукоприкладчик — причина указана в завещании, рукоприкладчик не является лицом, в пользу которого составлено завещание.]</w:t>
      </w:r>
    </w:p>
    <w:p>
      <w:pPr>
        <w:spacing w:after="120" w:line="276" w:lineRule="auto"/>
        <w:ind w:firstLine="709"/>
        <w:jc w:val="both"/>
      </w:pPr>
      <w:r>
        <w:rPr>
          <w:rFonts w:ascii="Times New Roman" w:hAnsi="Times New Roman"/>
          <w:b/>
          <w:i w:val="0"/>
          <w:sz w:val="24"/>
        </w:rPr>
        <w:t>Незначительные нарушения не влекут недействительности.</w:t>
      </w:r>
      <w:r>
        <w:rPr>
          <w:rFonts w:ascii="Times New Roman" w:hAnsi="Times New Roman"/>
          <w:b w:val="0"/>
          <w:i w:val="0"/>
          <w:sz w:val="24"/>
        </w:rPr>
        <w:t xml:space="preserve"> Пунктом 3 статьи 1131 ГК РФ установлено: «Не могут служить основанием недействительности завещания описки и другие незначительные нарушения порядка его составления, подписания или удостоверения, если судом установлено, что они не влияют на понимание волеизъявления завещателя.» Недочёты, на которые ссылается истец [описка в адресе, отсутствие отметки о __], не влияют на понимание воли завещателя.</w:t>
      </w:r>
    </w:p>
    <w:p>
      <w:pPr>
        <w:spacing w:after="120" w:line="276" w:lineRule="auto"/>
        <w:ind w:firstLine="709"/>
        <w:jc w:val="both"/>
      </w:pPr>
      <w:r>
        <w:rPr>
          <w:rFonts w:ascii="Times New Roman" w:hAnsi="Times New Roman"/>
          <w:b/>
          <w:i w:val="0"/>
          <w:sz w:val="24"/>
        </w:rPr>
        <w:t>У истца нет права на иск при отсутствии нарушенного интереса.</w:t>
      </w:r>
      <w:r>
        <w:rPr>
          <w:rFonts w:ascii="Times New Roman" w:hAnsi="Times New Roman"/>
          <w:b w:val="0"/>
          <w:i w:val="0"/>
          <w:sz w:val="24"/>
        </w:rPr>
        <w:t xml:space="preserve"> Пунктом 2 статьи 1131 ГК РФ установлено: «Завещание может быть признано судом недействительным по иску лица, права или законные интересы которого нарушены этим завещанием.» [Истец не является наследником по закону первой очереди / при недействительности завещания наследство всё равно перешло бы к __ / завещание отменяет более раннее завещание, которым истец также не был наделён.]</w:t>
      </w:r>
    </w:p>
    <w:p>
      <w:pPr>
        <w:spacing w:after="120" w:line="276" w:lineRule="auto"/>
        <w:ind w:firstLine="709"/>
        <w:jc w:val="both"/>
      </w:pPr>
      <w:r>
        <w:rPr>
          <w:rFonts w:ascii="Times New Roman" w:hAnsi="Times New Roman"/>
          <w:b/>
          <w:i w:val="0"/>
          <w:sz w:val="24"/>
        </w:rPr>
        <w:t>Суд не применил исковую давность, о пропуске которой ответчик заявил в суде первой инстанции.</w:t>
      </w:r>
      <w:r>
        <w:rPr>
          <w:rFonts w:ascii="Times New Roman" w:hAnsi="Times New Roman"/>
          <w:b w:val="0"/>
          <w:i w:val="0"/>
          <w:sz w:val="24"/>
        </w:rPr>
        <w:t xml:space="preserve"> Пунктом 1 статьи 196 ГК РФ установлено: «Общий срок исковой давности составляет три года со дня, определяемого в соответствии со статьей 200 настоящего Кодекса.» Требование основано на оспоримости завещания, срок по нему — один год (пункт 2 статьи 181 ГК РФ: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Об открытии наследства и о своих правах истец узнал не позднее «[дата]» [похороны наследодателя / получение извещения нотариуса / разговор с ответчиком];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ind w:firstLine="709"/>
        <w:jc w:val="both"/>
      </w:pPr>
      <w:r>
        <w:rPr>
          <w:rFonts w:ascii="Times New Roman" w:hAnsi="Times New Roman"/>
          <w:b/>
          <w:i w:val="0"/>
          <w:sz w:val="24"/>
        </w:rPr>
        <w:t>Выводы экспертизы не подтверждают неспособность понимать значение действий.</w:t>
      </w:r>
      <w:r>
        <w:rPr>
          <w:rFonts w:ascii="Times New Roman" w:hAnsi="Times New Roman"/>
          <w:b w:val="0"/>
          <w:i w:val="0"/>
          <w:sz w:val="24"/>
        </w:rPr>
        <w:t xml:space="preserve"> Заключение посмертной судебно-психиатрической экспертизы [носит вероятностный характер / сделано без медицинских данных за период составления завещания]. Частью 3 статьи 86 ГПК РФ установлено: «Заключение эксперта для суда необязательно и оценивается судом по правилам, установленным в статье 67 настоящего Кодекса. Несогласие суда с заключением должно быть мотивировано в решении или определении суда.» Суд не сопоставил заключение с другими доказательствами, в том числе с показаниями нотариуса, проверявшего дееспособность завещателя.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1118, 1119, 1124, 1131, 177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