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управляющая организация (заявитель апелляционной жалобы): </w:t>
      </w:r>
      <w:r>
        <w:rPr>
          <w:rFonts w:ascii="Times New Roman" w:hAnsi="Times New Roman"/>
          <w:b w:val="0"/>
          <w:i w:val="0"/>
          <w:sz w:val="24"/>
        </w:rPr>
        <w:t>[наименование управляющей организации / ТСЖ]</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взыскании неосновательного обогащения (неизрасходованных средств собственников)</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с ответчика неосновательного обогащения [неизрасходованных средств собственников] в размере [сумма] рублей и процентов за пользование чужими денежными средствами.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неизрасходованные средства, суд признал неосновательным обогащением плату, полученную по договору управления, не учёл стоимость фактически оказанных услуг, задолженность собственников и перерасход по дому (пункты 1 и 4 части 1 статьи 330 ГПК РФ).</w:t>
      </w:r>
    </w:p>
    <w:p>
      <w:pPr>
        <w:spacing w:after="120" w:line="276" w:lineRule="auto"/>
        <w:ind w:firstLine="709"/>
        <w:jc w:val="both"/>
      </w:pPr>
      <w:r>
        <w:rPr>
          <w:rFonts w:ascii="Times New Roman" w:hAnsi="Times New Roman"/>
          <w:b/>
          <w:i w:val="0"/>
          <w:sz w:val="24"/>
        </w:rPr>
        <w:t>Денежные средства получены по договору управления, а не без основания.</w:t>
      </w:r>
      <w:r>
        <w:rPr>
          <w:rFonts w:ascii="Times New Roman" w:hAnsi="Times New Roman"/>
          <w:b w:val="0"/>
          <w:i w:val="0"/>
          <w:sz w:val="24"/>
        </w:rPr>
        <w:t xml:space="preserve"> Пунктом 1 статьи 1102 Гражданского кодекса Российской Федерации (далее —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Ответчик получал плату на основании договора управления от «[дата]» и в счёт оказанных услуг. Плата за содержание жилого помещения — это цена услуг по управлению, содержанию и текущему ремонту за соответствующий месяц; она не является целевым накоплением, подлежащим возврату после прекращения договора.</w:t>
      </w:r>
    </w:p>
    <w:p>
      <w:pPr>
        <w:spacing w:after="120" w:line="276" w:lineRule="auto"/>
        <w:ind w:firstLine="709"/>
        <w:jc w:val="both"/>
      </w:pPr>
      <w:r>
        <w:rPr>
          <w:rFonts w:ascii="Times New Roman" w:hAnsi="Times New Roman"/>
          <w:b/>
          <w:i w:val="0"/>
          <w:sz w:val="24"/>
        </w:rPr>
        <w:t>Услуги оказаны на всю сумму полученной платы.</w:t>
      </w:r>
      <w:r>
        <w:rPr>
          <w:rFonts w:ascii="Times New Roman" w:hAnsi="Times New Roman"/>
          <w:b w:val="0"/>
          <w:i w:val="0"/>
          <w:sz w:val="24"/>
        </w:rPr>
        <w:t xml:space="preserve"> Частью 2 статьи 162 Жилищного кодекса Российской Федерации (далее — ЖК РФ) установлено: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пункте 6 части 2 статьи 153 настоящего Кодекса, либо в случае, предусмотренном частью 14 статьи 161 настоящего Кодекса, застройщика) в течение согласованного срока за плату обязуется выполнять работы и (или) оказывать услуги по управлению многоквартирным домом,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или в случаях, предусмотренных статьей 157.2 настоящего Кодекса, обеспечить готовность инженерных систем, осуществлять иную направленную на достижение целей управления многоквартирным домом деятельность.» За период управления ответчик выполнил работы и оказал услуги на сумму [сумма] рублей, что подтверждается [актами выполненных работ, подписанными председателем совета дома; ежегодными отчётами; договорами с подрядчиками и платёжными поручениями]. Расходы на управление (вознаграждение управляющей организации) входят в плату и возврату не подлежат.</w:t>
      </w:r>
    </w:p>
    <w:p>
      <w:pPr>
        <w:spacing w:after="120" w:line="276" w:lineRule="auto"/>
        <w:ind w:firstLine="709"/>
        <w:jc w:val="both"/>
      </w:pPr>
      <w:r>
        <w:rPr>
          <w:rFonts w:ascii="Times New Roman" w:hAnsi="Times New Roman"/>
          <w:b/>
          <w:i w:val="0"/>
          <w:sz w:val="24"/>
        </w:rPr>
        <w:t>Экономия, полученная управляющей организацией, остаётся в её распоряжении.</w:t>
      </w:r>
      <w:r>
        <w:rPr>
          <w:rFonts w:ascii="Times New Roman" w:hAnsi="Times New Roman"/>
          <w:b w:val="0"/>
          <w:i w:val="0"/>
          <w:sz w:val="24"/>
        </w:rPr>
        <w:t xml:space="preserve"> Частью 12 статьи 162 ЖК РФ установлено: «Если по результатам исполнения договора управления многоквартирным домом в соответствии с размещенным в системе отчетом о выполнении договора управления фактические расходы управляющей организации оказались меньше тех, которые учитывались при установлении размера платы за содержание жилого помещения, при условии оказания услуг и (или) выполнения работ по управлению многоквартирным домом, оказания услуг и (или) выполнения работ по содержанию и ремонту общего имущества в многоквартирном доме, предусмотренных таким договором, указанная разница остается в распоряжении управляющей организации при условии, что полученная управляющей организацией экономия не привела к ненадлежащему качеству оказанных услуг и (или) выполненных работ по управлению многоквартирным домом, оказанных услуг и (или) выполненных работ по содержанию и ремонту общего имущества в многоквартирном доме, предусмотренных таким договором, подтвержденному в порядке, установленном Правительством Российской Федерации. При этом договором управления многоквартирным домом может быть предусмотрено иное распределение полученной управляющей организацией экономии.» [Если фактические расходы оказались ниже заложенных в плату при надлежащем качестве услуг — разница является экономией ответчика; актов нарушения качества за спорный период не составлялось.]</w:t>
      </w:r>
    </w:p>
    <w:p>
      <w:pPr>
        <w:spacing w:after="120" w:line="276" w:lineRule="auto"/>
        <w:ind w:firstLine="709"/>
        <w:jc w:val="both"/>
      </w:pPr>
      <w:r>
        <w:rPr>
          <w:rFonts w:ascii="Times New Roman" w:hAnsi="Times New Roman"/>
          <w:b/>
          <w:i w:val="0"/>
          <w:sz w:val="24"/>
        </w:rPr>
        <w:t>Расчёт истца не учитывает задолженность собственников.</w:t>
      </w:r>
      <w:r>
        <w:rPr>
          <w:rFonts w:ascii="Times New Roman" w:hAnsi="Times New Roman"/>
          <w:b w:val="0"/>
          <w:i w:val="0"/>
          <w:sz w:val="24"/>
        </w:rPr>
        <w:t xml:space="preserve"> Истец рассчитал «остаток» как разницу между начисленной платой и затратами, тогда как фактически собрано лишь [__] % начисленного; задолженность собственников составляет [сумма] рублей. Неполученные денежные средства не могут быть неосновательным обогащением ответчика.</w:t>
      </w:r>
    </w:p>
    <w:p>
      <w:pPr>
        <w:spacing w:after="120" w:line="276" w:lineRule="auto"/>
        <w:ind w:firstLine="709"/>
        <w:jc w:val="both"/>
      </w:pPr>
      <w:r>
        <w:rPr>
          <w:rFonts w:ascii="Times New Roman" w:hAnsi="Times New Roman"/>
          <w:b/>
          <w:i w:val="0"/>
          <w:sz w:val="24"/>
        </w:rPr>
        <w:t>[Если на доме был перерасход:] Ответчик затратил больше, чем получил.</w:t>
      </w:r>
      <w:r>
        <w:rPr>
          <w:rFonts w:ascii="Times New Roman" w:hAnsi="Times New Roman"/>
          <w:b w:val="0"/>
          <w:i w:val="0"/>
          <w:sz w:val="24"/>
        </w:rPr>
        <w:t xml:space="preserve"> По итогам управления расходы ответчика превысили поступления на [сумма] рублей (отчёт прилагается); у ответчика нет никакого «остатка».</w:t>
      </w:r>
    </w:p>
    <w:p>
      <w:pPr>
        <w:spacing w:after="120" w:line="276" w:lineRule="auto"/>
        <w:ind w:firstLine="709"/>
        <w:jc w:val="both"/>
      </w:pPr>
      <w:r>
        <w:rPr>
          <w:rFonts w:ascii="Times New Roman" w:hAnsi="Times New Roman"/>
          <w:b/>
          <w:i w:val="0"/>
          <w:sz w:val="24"/>
        </w:rPr>
        <w:t>Проценты по статье 395 ГК РФ не подлежат взысканию.</w:t>
      </w:r>
      <w:r>
        <w:rPr>
          <w:rFonts w:ascii="Times New Roman" w:hAnsi="Times New Roman"/>
          <w:b w:val="0"/>
          <w:i w:val="0"/>
          <w:sz w:val="24"/>
        </w:rPr>
        <w:t xml:space="preserve"> Пунктом 2 статьи 1107 ГК РФ проценты начисляются с момента, когда приобретатель узнал или должен был узнать о неосновательности получения средств: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Ответчик о неосновательности не знал и не мог знать, так как средства получены по договору и израсходованы на дом.</w:t>
      </w:r>
    </w:p>
    <w:p>
      <w:pPr>
        <w:spacing w:after="120" w:line="276" w:lineRule="auto"/>
        <w:ind w:firstLine="709"/>
        <w:jc w:val="both"/>
      </w:pPr>
      <w:r>
        <w:rPr>
          <w:rFonts w:ascii="Times New Roman" w:hAnsi="Times New Roman"/>
          <w:b/>
          <w:i w:val="0"/>
          <w:sz w:val="24"/>
        </w:rPr>
        <w:t>Суд не применил исковую давность, о пропуске которой ответчик заявил в суде первой инстанции.</w:t>
      </w:r>
      <w:r>
        <w:rPr>
          <w:rFonts w:ascii="Times New Roman" w:hAnsi="Times New Roman"/>
          <w:b w:val="0"/>
          <w:i w:val="0"/>
          <w:sz w:val="24"/>
        </w:rPr>
        <w:t xml:space="preserve"> Пунктом 1 статьи 196 ГК РФ установлено: «Общий срок исковой давности составляет три года со дня, определяемого в соответствии со статьей 200 настоящего Кодекса.» Договор управления прекращён «[дата]»; [часть требований касается платежей за период более трёх лет до подачи иска].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ind w:firstLine="709"/>
        <w:jc w:val="both"/>
      </w:pPr>
      <w:r>
        <w:rPr>
          <w:rFonts w:ascii="Times New Roman" w:hAnsi="Times New Roman"/>
          <w:b/>
          <w:i w:val="0"/>
          <w:sz w:val="24"/>
        </w:rPr>
        <w:t>Истец — ненадлежащий истец [если иск предъявлен новой УК].</w:t>
      </w:r>
      <w:r>
        <w:rPr>
          <w:rFonts w:ascii="Times New Roman" w:hAnsi="Times New Roman"/>
          <w:b w:val="0"/>
          <w:i w:val="0"/>
          <w:sz w:val="24"/>
        </w:rPr>
        <w:t xml:space="preserve"> Право требования к прежней управляющей организации принадлежит собственникам; новая управляющая организация вправе его предъявить лишь при наличии решения общего собрания о передаче ей таких полномочий. [Такого решения нет.]</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1102, 1107, 1109, 395 ГК РФ, 162 ЖК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