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неосновательного обогащения и процентов за пользование чужими денежными средствами</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неосновательного обогащения [сумма] рублей и процентов за пользование чужими денежными средствами.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денежные средства, суд не установил отсутствие правового основания их получения: деньги получены [по договору / в счёт обязательства], а [переданы во исполнение несуществующего обязательства заведомо для истца] (пункты 1 и 4 части 1 статьи 330 ГПК РФ).</w:t>
      </w:r>
    </w:p>
    <w:p>
      <w:pPr>
        <w:spacing w:after="120" w:line="276" w:lineRule="auto"/>
        <w:ind w:firstLine="709"/>
        <w:jc w:val="both"/>
      </w:pPr>
      <w:r>
        <w:rPr>
          <w:rFonts w:ascii="Times New Roman" w:hAnsi="Times New Roman"/>
          <w:b/>
          <w:i w:val="0"/>
          <w:sz w:val="24"/>
        </w:rPr>
        <w:t>Денежные средства получены ответчиком при наличии правового основания.</w:t>
      </w:r>
      <w:r>
        <w:rPr>
          <w:rFonts w:ascii="Times New Roman" w:hAnsi="Times New Roman"/>
          <w:b w:val="0"/>
          <w:i w:val="0"/>
          <w:sz w:val="24"/>
        </w:rPr>
        <w:t xml:space="preserve"> Пунктом 1 статьи 1102 Гражданского кодекса Российской Федерации (далее —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Обогащение неосновательно только тогда, когда отсутствует основание, установленное законом, сделкой или иным правовым актом. Переводы истца являлись [оплатой выполненных ответчиком работ (услуг) по устной договорённости — переписка / возвратом долга истца перед ответчиком по расписке от «[дата]» / взносами на совместные расходы сторон (аренда, ремонт, отдых) / подарками в период близких отношений сторон].</w:t>
      </w:r>
    </w:p>
    <w:p>
      <w:pPr>
        <w:spacing w:after="120" w:line="276" w:lineRule="auto"/>
        <w:ind w:firstLine="709"/>
        <w:jc w:val="both"/>
      </w:pPr>
      <w:r>
        <w:rPr>
          <w:rFonts w:ascii="Times New Roman" w:hAnsi="Times New Roman"/>
          <w:b/>
          <w:i w:val="0"/>
          <w:sz w:val="24"/>
        </w:rPr>
        <w:t>Деньги переданы во исполнение несуществующего обязательства заведомо для истца — возврату не подлежат.</w:t>
      </w:r>
      <w:r>
        <w:rPr>
          <w:rFonts w:ascii="Times New Roman" w:hAnsi="Times New Roman"/>
          <w:b w:val="0"/>
          <w:i w:val="0"/>
          <w:sz w:val="24"/>
        </w:rPr>
        <w:t xml:space="preserve"> Статьёй 1109 ГК РФ установлено: «Не подлежат возврату в качестве неосновательного обогащения:» «денежные суммы и иное имущество, предоставленные во исполнение несуществующего обязательства, если приобретатель докажет, что лицо, требующее возврата имущества, знало об отсутствии обязательства либо предоставило имущество в целях благотворительности.» Истец переводил деньги [многократно, в течение длительного времени, добровольно и намеренно, зная об отсутствии обязательства], без указания назначения «заём» и без требования возврата. Систематичность и добровольность переводов исключают их ошибочность.</w:t>
      </w:r>
    </w:p>
    <w:p>
      <w:pPr>
        <w:spacing w:after="120" w:line="276" w:lineRule="auto"/>
        <w:ind w:firstLine="709"/>
        <w:jc w:val="both"/>
      </w:pPr>
      <w:r>
        <w:rPr>
          <w:rFonts w:ascii="Times New Roman" w:hAnsi="Times New Roman"/>
          <w:b/>
          <w:i w:val="0"/>
          <w:sz w:val="24"/>
        </w:rPr>
        <w:t>Истец не доказал факт обогащения ответчика за его счёт в заявленном размере.</w:t>
      </w:r>
      <w:r>
        <w:rPr>
          <w:rFonts w:ascii="Times New Roman" w:hAnsi="Times New Roman"/>
          <w:b w:val="0"/>
          <w:i w:val="0"/>
          <w:sz w:val="24"/>
        </w:rPr>
        <w:t xml:space="preserve"> [Часть переводов поступила на счёт третьего лица / ответчик возвратил [сумма] рублей переводами от «[дата]» / средства были израсходованы на нужды самого истца по его поручению — чеки.] Бремя доказывания факта приобретения ответчиком имущества за счёт истца лежит на истце (часть 1 статьи 56 ГПК РФ).</w:t>
      </w:r>
    </w:p>
    <w:p>
      <w:pPr>
        <w:spacing w:after="120" w:line="276" w:lineRule="auto"/>
        <w:ind w:firstLine="709"/>
        <w:jc w:val="both"/>
      </w:pPr>
      <w:r>
        <w:rPr>
          <w:rFonts w:ascii="Times New Roman" w:hAnsi="Times New Roman"/>
          <w:b/>
          <w:i w:val="0"/>
          <w:sz w:val="24"/>
        </w:rPr>
        <w:t>Проценты начисляются только с момента, когда ответчик узнал о неосновательности.</w:t>
      </w:r>
      <w:r>
        <w:rPr>
          <w:rFonts w:ascii="Times New Roman" w:hAnsi="Times New Roman"/>
          <w:b w:val="0"/>
          <w:i w:val="0"/>
          <w:sz w:val="24"/>
        </w:rPr>
        <w:t xml:space="preserve"> Пунктом 2 статьи 1107 ГК РФ: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Ответчик полагал, что получает деньги по [основанию]; о требовании истца узнал лишь из претензии «[дата]». Пунктом 1 статьи 395 ГК РФ установлено: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w:t>
      </w:r>
    </w:p>
    <w:p>
      <w:pPr>
        <w:spacing w:after="120" w:line="276" w:lineRule="auto"/>
        <w:ind w:firstLine="709"/>
        <w:jc w:val="both"/>
      </w:pPr>
      <w:r>
        <w:rPr>
          <w:rFonts w:ascii="Times New Roman" w:hAnsi="Times New Roman"/>
          <w:b/>
          <w:i w:val="0"/>
          <w:sz w:val="24"/>
        </w:rPr>
        <w:t>Суд не применил исковую давность, о пропуске которой ответчик заявил в суде первой инстанции.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Срок исчисляется с момента, когда истец узнал о нарушении своего права (пункт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 по каждому переводу отдельно, со дня его совершения. Срок возврата [наступил «[дата]» / требование о возврате предъявлено «[дата]»];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1102, 1107, 1109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