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исполнитель (заявитель апелляционной жалобы): </w:t>
      </w:r>
      <w:r>
        <w:rPr>
          <w:rFonts w:ascii="Times New Roman" w:hAnsi="Times New Roman"/>
          <w:b w:val="0"/>
          <w:i w:val="0"/>
          <w:sz w:val="24"/>
        </w:rPr>
        <w:t>[наименование исполнителя]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потребитель: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взыскании неустойки за нарушение срока выполнения работы (оказания услуги), штрафа и морального вреда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взыскании неустойки за нарушение срока выполнения работы (оказания услуги) [сумма] рублей, штрафа и компенсации морального вреда.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неустойку, суд не учёл, что срок нарушен по вине потребителя [или продлён по соглашению], неустойка исчисляется от цены конкретной работы и не может её превышать, а период просрочки определён неверно (пункты 1, 2 и 4 части 1 статьи 330 ГПК РФ).</w:t>
      </w:r>
    </w:p>
    <w:p>
      <w:pPr>
        <w:spacing w:after="120" w:line="276" w:lineRule="auto"/>
        <w:ind w:firstLine="709"/>
        <w:jc w:val="both"/>
      </w:pPr>
      <w:r>
        <w:rPr>
          <w:rFonts w:ascii="Times New Roman" w:hAnsi="Times New Roman"/>
          <w:b/>
          <w:i w:val="0"/>
          <w:sz w:val="24"/>
        </w:rPr>
        <w:t>Срок нарушен по вине потребителя [или продлён по соглашению].</w:t>
      </w:r>
      <w:r>
        <w:rPr>
          <w:rFonts w:ascii="Times New Roman" w:hAnsi="Times New Roman"/>
          <w:b w:val="0"/>
          <w:i w:val="0"/>
          <w:sz w:val="24"/>
        </w:rPr>
        <w:t xml:space="preserve"> Пунктом 1 статьи 27 Закона о защите прав потребителей установлено: «Исполнитель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выполнении работ (оказании услуг). В договоре о выполнении работ (оказании услуг) может предусматриваться срок выполнения работы (оказания услуги), если указанными правилами он не предусмотрен, а также срок меньшей продолжительности, чем срок, установленный указанными правилами.» Начало работ зависело от [внесения аванса / предоставления доступа / согласования эскиза и замеров / поставки материалов заказчика]. Истец [внёс аванс «[дата]» вместо «[дата]» / согласовал эскиз «[дата]»], поэтому срок выполнения сместился. [Дополнительным соглашением от «[дата]» срок продлён до «[дата]» в связи с изменением объёма работ по просьбе истца.]</w:t>
      </w:r>
    </w:p>
    <w:p>
      <w:pPr>
        <w:spacing w:after="120" w:line="276" w:lineRule="auto"/>
        <w:ind w:firstLine="709"/>
        <w:jc w:val="both"/>
      </w:pPr>
      <w:r>
        <w:rPr>
          <w:rFonts w:ascii="Times New Roman" w:hAnsi="Times New Roman"/>
          <w:b/>
          <w:i w:val="0"/>
          <w:sz w:val="24"/>
        </w:rPr>
        <w:t>Неустойка исчисляется от цены конкретной работы и не может её превышать.</w:t>
      </w:r>
      <w:r>
        <w:rPr>
          <w:rFonts w:ascii="Times New Roman" w:hAnsi="Times New Roman"/>
          <w:b w:val="0"/>
          <w:i w:val="0"/>
          <w:sz w:val="24"/>
        </w:rPr>
        <w:t xml:space="preserve"> Пунктом 5 статьи 28 Закона: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 «Сумма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 «Размер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 Если договором предусмотрены этапы, неустойка за просрочку этапа исчисляется от цены этого этапа, а не от общей цены договора. Истец [рассчитал от цены договора с материалами / включил период после приёмки работ / превысил цену работы].</w:t>
      </w:r>
    </w:p>
    <w:p>
      <w:pPr>
        <w:spacing w:after="120" w:line="276" w:lineRule="auto"/>
        <w:ind w:firstLine="709"/>
        <w:jc w:val="both"/>
      </w:pPr>
      <w:r>
        <w:rPr>
          <w:rFonts w:ascii="Times New Roman" w:hAnsi="Times New Roman"/>
          <w:b/>
          <w:i w:val="0"/>
          <w:sz w:val="24"/>
        </w:rPr>
        <w:t>Период просрочки определён неверно.</w:t>
      </w:r>
      <w:r>
        <w:rPr>
          <w:rFonts w:ascii="Times New Roman" w:hAnsi="Times New Roman"/>
          <w:b w:val="0"/>
          <w:i w:val="0"/>
          <w:sz w:val="24"/>
        </w:rPr>
        <w:t xml:space="preserve"> Работы фактически выполнены «[дата]» и предъявлены к приёмке [уведомление от «[дата]»]; истец уклонялся от приёмки до «[дата]». Период уклонения заказчика от приёмки не является просрочкой исполнителя.</w:t>
      </w:r>
    </w:p>
    <w:p>
      <w:pPr>
        <w:spacing w:after="120" w:line="276" w:lineRule="auto"/>
        <w:ind w:firstLine="709"/>
        <w:jc w:val="both"/>
      </w:pPr>
      <w:r>
        <w:rPr>
          <w:rFonts w:ascii="Times New Roman" w:hAnsi="Times New Roman"/>
          <w:b/>
          <w:i w:val="0"/>
          <w:sz w:val="24"/>
        </w:rPr>
        <w:t>Обстоятельства непреодолимой силы [если применимо].</w:t>
      </w:r>
      <w:r>
        <w:rPr>
          <w:rFonts w:ascii="Times New Roman" w:hAnsi="Times New Roman"/>
          <w:b w:val="0"/>
          <w:i w:val="0"/>
          <w:sz w:val="24"/>
        </w:rPr>
        <w:t xml:space="preserve"> Пунктом 4 статьи 13 Закона: «Изготовитель (исполнитель, продавец, уполномоченная организация или уполномоченный индивидуальный предприниматель, импортер, владелец агрегатора)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 [Просрочка вызвана [ограничениями, введёнными органами власти / стихийным бедствием / прекращением поставок материала производителем], что подтверждается [документами].]</w:t>
      </w:r>
    </w:p>
    <w:p>
      <w:pPr>
        <w:spacing w:after="120" w:line="276" w:lineRule="auto"/>
        <w:ind w:firstLine="709"/>
        <w:jc w:val="both"/>
      </w:pPr>
      <w:r>
        <w:rPr>
          <w:rFonts w:ascii="Times New Roman" w:hAnsi="Times New Roman"/>
          <w:b/>
          <w:i w:val="0"/>
          <w:sz w:val="24"/>
        </w:rPr>
        <w:t>Неустойка явно несоразмерна последствиям нарушения.</w:t>
      </w:r>
      <w:r>
        <w:rPr>
          <w:rFonts w:ascii="Times New Roman" w:hAnsi="Times New Roman"/>
          <w:b w:val="0"/>
          <w:i w:val="0"/>
          <w:sz w:val="24"/>
        </w:rPr>
        <w:t xml:space="preserve"> Пунктом 1 статьи 333 Гражданского кодекса Российской Федерации (далее —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Ответчик в суде первой инстанции заявлял об уменьшении неустойки: [нарушение незначительное по сроку, устранено «[дата]», реальных убытков истец не понёс; заявленная сумма сопоставима с ценой товара (услуги) и многократно превышает плату по краткосрочным кредитам и ключевую ставку Банка России]. Неустойка не должна служить средством обогащения потребителя.</w:t>
      </w:r>
    </w:p>
    <w:p>
      <w:pPr>
        <w:spacing w:after="120" w:line="276" w:lineRule="auto"/>
        <w:ind w:firstLine="709"/>
        <w:jc w:val="both"/>
      </w:pPr>
      <w:r>
        <w:rPr>
          <w:rFonts w:ascii="Times New Roman" w:hAnsi="Times New Roman"/>
          <w:b/>
          <w:i w:val="0"/>
          <w:sz w:val="24"/>
        </w:rPr>
        <w:t>Штраф не подлежит взысканию [либо подлежит уменьшению].</w:t>
      </w:r>
      <w:r>
        <w:rPr>
          <w:rFonts w:ascii="Times New Roman" w:hAnsi="Times New Roman"/>
          <w:b w:val="0"/>
          <w:i w:val="0"/>
          <w:sz w:val="24"/>
        </w:rPr>
        <w:t xml:space="preserve"> Пунктом 6 статьи 13 Закона РФ «О защите прав потребителей» (далее — Закон о защите прав потребителей) установлено: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Пунктом 7 той же статьи: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[Требование истца не было удовлетворено добровольно по его собственной вине: он не представил товар для проверки качества / не сообщил реквизиты / не явился для получения денег.] Кроме того, штраф по своей правовой природе является неустойкой и может быть уменьшен по статье 333 ГК РФ.</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28 Закона РФ «О защите прав потребителей», 333, 401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