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работодатель (заявитель апелляционной жалобы): </w:t>
      </w:r>
      <w:r>
        <w:rPr>
          <w:rFonts w:ascii="Times New Roman" w:hAnsi="Times New Roman"/>
          <w:b w:val="0"/>
          <w:i w:val="0"/>
          <w:sz w:val="24"/>
        </w:rPr>
        <w:t>[наименование работодателя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работник: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перевода на другую работу незаконным и восстановлении на прежней работе</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перевода истца на другую работу незаконным, восстановлении в прежней должности, взыскании разницы в заработке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перевод незаконным, суд не разграничил перевод и перемещение, не требующее согласия работника, и не учёл письменное согласие истца [либо наличие оснований для временного перевода] (пункты 1 и 4 части 1 статьи 330 ГПК РФ).</w:t>
      </w:r>
    </w:p>
    <w:p>
      <w:pPr>
        <w:spacing w:after="120" w:line="276" w:lineRule="auto"/>
        <w:ind w:firstLine="709"/>
        <w:jc w:val="both"/>
      </w:pPr>
      <w:r>
        <w:rPr>
          <w:rFonts w:ascii="Times New Roman" w:hAnsi="Times New Roman"/>
          <w:b/>
          <w:i w:val="0"/>
          <w:sz w:val="24"/>
        </w:rPr>
        <w:t>Изменение не является переводом — это перемещение, не требующее согласия.</w:t>
      </w:r>
      <w:r>
        <w:rPr>
          <w:rFonts w:ascii="Times New Roman" w:hAnsi="Times New Roman"/>
          <w:b w:val="0"/>
          <w:i w:val="0"/>
          <w:sz w:val="24"/>
        </w:rPr>
        <w:t xml:space="preserve"> Частью первой статьи 72.1 ТК РФ установлено: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настоящего Кодекса.» Частью третьей той же статьи: «Не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 Трудовая функция истца, [его оклад], структурное подразделение, указанное в трудовом договоре, не изменились; истец перемещён на [другое рабочее место / другой участок] в той же местности. Такое перемещение не требует согласия работника.</w:t>
      </w:r>
    </w:p>
    <w:p>
      <w:pPr>
        <w:spacing w:after="120" w:line="276" w:lineRule="auto"/>
        <w:ind w:firstLine="709"/>
        <w:jc w:val="both"/>
      </w:pPr>
      <w:r>
        <w:rPr>
          <w:rFonts w:ascii="Times New Roman" w:hAnsi="Times New Roman"/>
          <w:b/>
          <w:i w:val="0"/>
          <w:sz w:val="24"/>
        </w:rPr>
        <w:t>[Если перевод был:] Истец дал письменное согласие.</w:t>
      </w:r>
      <w:r>
        <w:rPr>
          <w:rFonts w:ascii="Times New Roman" w:hAnsi="Times New Roman"/>
          <w:b w:val="0"/>
          <w:i w:val="0"/>
          <w:sz w:val="24"/>
        </w:rPr>
        <w:t xml:space="preserve"> Статьёй 72 ТК РФ изменение условий трудового договора допускается по соглашению сторон в письменной форме: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Кодексом. Соглашение об изменении определенных сторонами условий трудового договора заключается в письменной форме.» «[дата]» истец подписал дополнительное соглашение [и заявление о переводе]. Подписание соглашения — добровольное волеизъявление; доказательств принуждения нет.</w:t>
      </w:r>
    </w:p>
    <w:p>
      <w:pPr>
        <w:spacing w:after="120" w:line="276" w:lineRule="auto"/>
        <w:ind w:firstLine="709"/>
        <w:jc w:val="both"/>
      </w:pPr>
      <w:r>
        <w:rPr>
          <w:rFonts w:ascii="Times New Roman" w:hAnsi="Times New Roman"/>
          <w:b/>
          <w:i w:val="0"/>
          <w:sz w:val="24"/>
        </w:rPr>
        <w:t>[Если перевод временный без согласия:] Основания для временного перевода имелись.</w:t>
      </w:r>
      <w:r>
        <w:rPr>
          <w:rFonts w:ascii="Times New Roman" w:hAnsi="Times New Roman"/>
          <w:b w:val="0"/>
          <w:i w:val="0"/>
          <w:sz w:val="24"/>
        </w:rPr>
        <w:t xml:space="preserve"> Частью третьей статьи 72.2 ТК РФ: «Перевод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настоящей статьи. При этом перевод на работу, требующую более низкой квалификации, допускается только с письменного согласия работника.» Перевод произведён на срок [до одного месяца] в связи с [простоем / необходимостью замены отсутствующего работника, вызванной чрезвычайными обстоятельствами — указать] и оплачен не ниже среднего заработка по прежней работе.</w:t>
      </w:r>
    </w:p>
    <w:p>
      <w:pPr>
        <w:spacing w:after="120" w:line="276" w:lineRule="auto"/>
        <w:ind w:firstLine="709"/>
        <w:jc w:val="both"/>
      </w:pPr>
      <w:r>
        <w:rPr>
          <w:rFonts w:ascii="Times New Roman" w:hAnsi="Times New Roman"/>
          <w:b/>
          <w:i w:val="0"/>
          <w:sz w:val="24"/>
        </w:rPr>
        <w:t>Перевод не противопоказан истцу по состоянию здоровья.</w:t>
      </w:r>
      <w:r>
        <w:rPr>
          <w:rFonts w:ascii="Times New Roman" w:hAnsi="Times New Roman"/>
          <w:b w:val="0"/>
          <w:i w:val="0"/>
          <w:sz w:val="24"/>
        </w:rPr>
        <w:t xml:space="preserve"> Частью четвёртой статьи 72.1 ТК РФ: «Запрещается переводить и перемещать работника на работу, противопоказанную ему по состоянию здоровья.» Медицинских заключений о противопоказаниях истец не представлял.</w:t>
      </w:r>
    </w:p>
    <w:p>
      <w:pPr>
        <w:spacing w:after="120" w:line="276" w:lineRule="auto"/>
        <w:ind w:firstLine="709"/>
        <w:jc w:val="both"/>
      </w:pPr>
      <w:r>
        <w:rPr>
          <w:rFonts w:ascii="Times New Roman" w:hAnsi="Times New Roman"/>
          <w:b/>
          <w:i w:val="0"/>
          <w:sz w:val="24"/>
        </w:rPr>
        <w:t>Разница в заработке отсутствует.</w:t>
      </w:r>
      <w:r>
        <w:rPr>
          <w:rFonts w:ascii="Times New Roman" w:hAnsi="Times New Roman"/>
          <w:b w:val="0"/>
          <w:i w:val="0"/>
          <w:sz w:val="24"/>
        </w:rPr>
        <w:t xml:space="preserve"> [Оплата по новой должности не ниже прежней — расчётные листки.] Требование о взыскании разницы не обосновано.</w:t>
      </w:r>
    </w:p>
    <w:p>
      <w:pPr>
        <w:spacing w:after="120" w:line="276" w:lineRule="auto"/>
        <w:ind w:firstLine="709"/>
        <w:jc w:val="both"/>
      </w:pPr>
      <w:r>
        <w:rPr>
          <w:rFonts w:ascii="Times New Roman" w:hAnsi="Times New Roman"/>
          <w:b/>
          <w:i w:val="0"/>
          <w:sz w:val="24"/>
        </w:rPr>
        <w:t>Суд не применил последствия пропуска истцом срока обращения в суд, о котором заявил ответчик.</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ознакомления с приказом о переводе]», а обратился в суд лишь «[дата]», то есть по истечении трёх месяцев.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заявлял о пропуске срока в суде первой инстанции; пропуск срока — самостоятельное основание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72, 72.1, 72.2, 392 ТК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истца] [в полном объёме / в части: указать].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Работник освобождён от судебных расходов по трудовому спору (ст. 393 ТК РФ), поэтому требование о возмещении работодателю госпошлины за апелляционную жалобу не заявляется.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