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инициатор собрания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ничтожным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ничтожным решения общего собрания собственников помещений многоквартирного дома по адресу [__], оформленного протоколом от «[дата]» № [__], [в связи с отсутствием кворума].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решение ничтожным, суд согласился с расчётом кворума истца, исключившего бюллетени по формальным основаниям, и не учёл, что собственники подтвердили своё волеизъявление, а решение принято в пределах компетенции собрания (пункты 1, 3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 имелся.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181.5 Гражданского кодекса Российской Федерации (далее — ГК РФ) решение ничтожно, если оно «принято при отсутствии необходимого кворума» Частью 3 статьи 45 Жилищного кодекса Российской Федерации (далее — ЖК РФ) установлено, что собрание правомочно при участии собственников, обладающих более чем 50 % голосов от общего числа голосов.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 Общая площадь помещений дома — [__] кв. м (по сведениям ЕГРН); в собрании приняли участие собственники помещений площадью [__] кв. м, что составляет [__] %. Подробный расчёт по каждому помещению с указанием реквизитов записей ЕГРН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ошибочен.</w:t>
      </w:r>
      <w:r>
        <w:rPr>
          <w:rFonts w:ascii="Times New Roman" w:hAnsi="Times New Roman"/>
          <w:b w:val="0"/>
          <w:i w:val="0"/>
          <w:sz w:val="24"/>
        </w:rPr>
        <w:t xml:space="preserve"> Истец [исключил бюллетени по формальным основаниям — отсутствие даты, неполное имя — хотя волеизъявление собственника ясно / принял за основу площадь дома с местами общего пользования вместо площади помещений / не учёл, что за совместную собственность супругов голосует один из них / посчитал голоса пропорционально числу лиц, а не площади / использовал устаревшие данные о собственниках]. Частью 6 статьи 48 ЖК РФ установлено: «При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целом.» Голос, таким образом, исключается лишь по вопросам, где отмечено более одного варианта; иные недочёты (отсутствие даты, сокращённое имя) не влекут исключения, если воля собственника ясна.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Собственники подтвердили своё волеизъявление.</w:t>
      </w:r>
      <w:r>
        <w:rPr>
          <w:rFonts w:ascii="Times New Roman" w:hAnsi="Times New Roman"/>
          <w:b w:val="0"/>
          <w:i w:val="0"/>
          <w:sz w:val="24"/>
        </w:rPr>
        <w:t xml:space="preserve"> [Собственники, чьи бюллетени оспаривает истец, представили письменные пояснения / готовы дать показания], что они участвовали в голосовании и подписывали бюллетени. Заявления о фальсификации без почерковедческой экспертизы и показаний самих собственников голословны.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принято по вопросам повестки и в пределах компетенции.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установлены и иные основания ничтожности: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по вопросу, не относящемуся к компетенции собрания» Все вопросы были включены в повестку дня, указанную в сообщении о проведении собрания, и относятся к компетенции общего собрания (часть 2 статьи 44 ЖК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[Пунктом 2 статьи 181.4 ГК РФ установлено: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Решением общего собрания от «[дата]» (протокол № __) принятые решения подтверждены.]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обжалования пропущен.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 установлено: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Протокол размещён [на информационных стендах «[дата]», в ГИС ЖКХ «[дата]»]; [истец получал платёжные документы с новым тарифом с «[дата]»]. Иск подан «[дата]» — за пределами шести месяцев. Срок применяется и к требованию о ничтожности решения собрания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уведомления других собственников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[Истец не уведомил собственников о намерении обратиться в суд.]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44–48 ЖК РФ, 181.4, 181.5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