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общего собрания участников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решения общего собрания участников ООО «[__]» от «[дата]» (протокол № __).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собрания недействительным, суд не учёл, что голосование истца не могло повлиять на результат, решение не повлекло для него существенных неблагоприятных последствий, порядок созыва соблюдён, а решение подтверждено последующим решением собрания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не могло повлиять на результат, а решение не причинило ему существенных неблагоприятных последствий.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 установлено: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Пунктом 2 статьи 43 Федерального закона от 08.02.1998 № 14-ФЗ «Об обществах с ограниченной ответственностью» (далее — Закон об ООО): «Суд вправе с учетом всех обстоятельств дела оставить в силе обжалуемое решение, если голосование участника общества, подавшего заявление, не могло повлиять на результаты голосования, допущенные нарушения не являются существенными и решение не повлекло причинение убытков данному участнику общества.» Истцу принадлежит [__] % голосов, решение принято [__] % голосов; [решение об утверждении отчётности / назначении аудитора] не затрагивает имущественных прав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созыва и проведения соблюдён.</w:t>
      </w:r>
      <w:r>
        <w:rPr>
          <w:rFonts w:ascii="Times New Roman" w:hAnsi="Times New Roman"/>
          <w:b w:val="0"/>
          <w:i w:val="0"/>
          <w:sz w:val="24"/>
        </w:rPr>
        <w:t xml:space="preserve"> Уведомление о собрании направлено истцу «[дата]» заказным письмом [получено / возвращено за истечением срока хранения — статья 165.1 ГК РФ], повестка дня и материалы предоставлены в срок, установленный статьёй 36 Закона об ООО; принятие решения удостоверено [нотариусом / способом, предусмотренным уставом].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подтверждено последующим решением собрания.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181.4 ГК РФ установлено: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Собрание «[дата]» (протокол № [__]) подтвердило оспариваемое решение с соблюдением порядка.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Нарушения, на которые ссылается истец, несущественны.</w:t>
      </w:r>
      <w:r>
        <w:rPr>
          <w:rFonts w:ascii="Times New Roman" w:hAnsi="Times New Roman"/>
          <w:b w:val="0"/>
          <w:i w:val="0"/>
          <w:sz w:val="24"/>
        </w:rPr>
        <w:t xml:space="preserve"> [Опоздание уведомления на один день / отсутствие одного из материалов, который истец получил на собрании] не повлияло на волеизъявление участников.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— инструмент корпоративного конфликта.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предъявил иск после отказа других участников выкупить его долю по завышенной цене / параллельно с другими исками, цель которых — давление на общество и парализация его деятельности.]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181.4, 181.5 ГК РФ, статьёй 43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