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правообладатель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лицо, оспаривающее запись в ЕГРН: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зарегистрированного права (обременения) отсутствующим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отсутствующим зарегистрированного права [собственности / аренды / ипотеки] ответчика на [объект, кадастровый номер].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право ответчика отсутствующим, суд применил исключительный способ защиты при отсутствии условий для него, не учёл, что объект является недвижимостью, а обременение не прекратилось, и не установил нарушения права истца записью в ЕГРН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ответчика зарегистрировано и не оспорено.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8.1 ГК РФ установлено: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 Право ответчика зарегистрировано в ЕГРН «[дата]» (запись № [__]); основание — [договор, акт ввода, решение суда]. Пока регистрация не оспорена в установленном порядке, ответчик признаётся правообладателем.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о признании права отсутствующим — исключительный способ защиты, и он избран ненадлежаще.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возможно, лишь если истец владеет имуществом и его право не может быть защищено иными способами (иском о признании права, виндикацией, оспариванием сделки). Объект [находится во владении ответчика — он его использует, несёт расходы], поэтому надлежащий способ защиты для истца — виндикационный иск, а не иск о признании права отсутствующим.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Объект является недвижимостью, регистрация права правомерна.</w:t>
      </w:r>
      <w:r>
        <w:rPr>
          <w:rFonts w:ascii="Times New Roman" w:hAnsi="Times New Roman"/>
          <w:b w:val="0"/>
          <w:i w:val="0"/>
          <w:sz w:val="24"/>
        </w:rPr>
        <w:t xml:space="preserve"> [Здание прочно связано с землёй, имеет фундамент, перемещение без несоразмерного ущерба невозможно — техпаспорт, заключение специалиста]; доводы о некапитальности объекта не подтверждены.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обременения:] Обременение не прекратилось.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352 ГК РФ / договором [ипотеки / аренды] установлены основания прекращения, которые не наступили; [обеспеченное обязательство не исполнено полностью].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предъявлен недобросовестно.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сам участвовал в сделке, по которой зарегистрировано право, или знал о регистрации много лет.]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доказал, что запись нарушает его право.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6 статьи 8.1 ГК РФ установлено: «При возникновении спора в отношении зарегистрированного права лицо, которое знало или должно было знать о недостоверности данных государственного реестра, не вправе ссылаться на соответствующие данные.» Истец [знал о регистрации и основаниях её внесения], поэтому ссылаться на недостоверность реестра не вправе.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10, 130, 352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