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владелец сайта (издатель)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правообладатель: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компенсации за нарушение исключительного права на произведение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компенсации за нарушение исключительного права на произведение [фотографию / текст / дизайн] в размере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компенсацию, суд не проверил авторство и принадлежность права истцу, охраноспособность объекта, допустимость свободного использования и то, что материал размещён не ответчиком, а также завысил компенсацию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авторство и принадлежность исключительного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1259 ГК РФ установлено: «Для возникновения, осуществления и защиты авторских прав не требуется регистрация произведения или соблюдение каких-либо иных формальностей.» Истец представил [файлы без исходных метаданных / публикацию в соцсети после даты размещения на сайте ответчика / договор с автором без указания конкретных произведений]. Презумпция авторства не возникает.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Произведение не является объектом авторского права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1259 ГК РФ установлено: «Авторские права не распространяются на идеи, концепции, принципы, методы, процессы, системы, способы, решения технических, организационных или иных задач, открытия, факты, языки программирования, геологическую информацию о недрах.» [Текст — технические характеристики товара / фотография — простая фиксация товара на белом фоне без творческого вклада.]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Использование допустимо без согласия правообладателя.</w:t>
      </w:r>
      <w:r>
        <w:rPr>
          <w:rFonts w:ascii="Times New Roman" w:hAnsi="Times New Roman"/>
          <w:b w:val="0"/>
          <w:i w:val="0"/>
          <w:sz w:val="24"/>
        </w:rPr>
        <w:t xml:space="preserve"> Подпунктом 1 пункта 1 статьи 1274 ГК РФ допускается: «цитирование в оригинале и в переводе в научных, полемических, критических, информационных, учебных целях, в целях раскрытия творческого замысла автора правомерно обнародованных произведений в объеме, оправданном целью цитирования, включая воспроизведение отрывков из газетных и журнальных статей в форме обзоров печати» [Фрагмент текста приведён в объёме, оправданном целью цитирования, со ссылкой на источник.]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является лицом, разместившим материал.</w:t>
      </w:r>
      <w:r>
        <w:rPr>
          <w:rFonts w:ascii="Times New Roman" w:hAnsi="Times New Roman"/>
          <w:b w:val="0"/>
          <w:i w:val="0"/>
          <w:sz w:val="24"/>
        </w:rPr>
        <w:t xml:space="preserve"> [Материал размещён пользователем на форуме/в комментариях; ответчик как информационный посредник удалил его в течение суток после получения претензии.]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компенсации явно завышен.</w:t>
      </w:r>
      <w:r>
        <w:rPr>
          <w:rFonts w:ascii="Times New Roman" w:hAnsi="Times New Roman"/>
          <w:b w:val="0"/>
          <w:i w:val="0"/>
          <w:sz w:val="24"/>
        </w:rPr>
        <w:t xml:space="preserve"> Подпунктом 1 пункта 1 статьи 1301 ГК РФ: «в размере от десяти тысяч до десяти миллионов рублей» Абзацем пятым пункта 2 статьи 1252.1 ГК РФ установлено: «Размер компенсации определяется судом в зависимости от обстоятельств дела соразмерно объему и характеру нарушения, а также с учетом требований разумности и справедливости.» Нарушение [единичное, кратковременное, товар реализован в количестве [__] шт. на сумму [сумма] рублей], у правообладателя нет доказательств реальных потерь. Суд не мотивировал размер компенсации; она подлежала определению в минимальном размере.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1257, 1259, 1274, 1301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