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продавец (изготовитель) товара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правообладатель: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компенсации за нарушение исключительного права на товарный знак и изъятии товара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компенсации за нарушение исключительного права на товарный знак № [__] в размере [сумма] рублей [и изъятии контрафактного товара].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компенсацию, суд не установил факта нарушения именно ответчиком и сходства до степени смешения, не учёл исчерпание права на оригинальный товар, отсутствие вины, правило о единой компенсации и явную завышенность размера (пункты 1, 2 и 4 части 1 статьи 270 АПК РФ).</w:t>
      </w:r>
    </w:p>
    <w:p>
      <w:pPr>
        <w:spacing w:after="120" w:line="276" w:lineRule="auto"/>
        <w:ind w:firstLine="709"/>
        <w:jc w:val="both"/>
      </w:pPr>
      <w:r>
        <w:rPr>
          <w:rFonts w:ascii="Times New Roman" w:hAnsi="Times New Roman"/>
          <w:b/>
          <w:i w:val="0"/>
          <w:sz w:val="24"/>
        </w:rPr>
        <w:t>Факт нарушения именно ответчиком не доказан.</w:t>
      </w:r>
      <w:r>
        <w:rPr>
          <w:rFonts w:ascii="Times New Roman" w:hAnsi="Times New Roman"/>
          <w:b w:val="0"/>
          <w:i w:val="0"/>
          <w:sz w:val="24"/>
        </w:rPr>
        <w:t xml:space="preserve"> [Видеозапись контрольной закупки не позволяет установить место продажи и продавца / чек выдан иным лицом / скриншоты сайта без нотариального осмотра и данных о владельце домена.] Согласно части 1 статьи 65 АПК РФ доказать факт нарушения обязан истец.</w:t>
      </w:r>
    </w:p>
    <w:p>
      <w:pPr>
        <w:spacing w:after="120" w:line="276" w:lineRule="auto"/>
        <w:ind w:firstLine="709"/>
        <w:jc w:val="both"/>
      </w:pPr>
      <w:r>
        <w:rPr>
          <w:rFonts w:ascii="Times New Roman" w:hAnsi="Times New Roman"/>
          <w:b/>
          <w:i w:val="0"/>
          <w:sz w:val="24"/>
        </w:rPr>
        <w:t>Обозначение на товаре не сходно с товарным знаком до степени смешения, товары неоднородны.</w:t>
      </w:r>
      <w:r>
        <w:rPr>
          <w:rFonts w:ascii="Times New Roman" w:hAnsi="Times New Roman"/>
          <w:b w:val="0"/>
          <w:i w:val="0"/>
          <w:sz w:val="24"/>
        </w:rPr>
        <w:t xml:space="preserve"> Пунктом 3 статьи 1484 ГК РФ установлено: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Обозначение ответчика [отличается по звучанию, графике и смыслу / размещено на товаре иного класса МКТУ]; вероятности смешения у потребителя нет.</w:t>
      </w:r>
    </w:p>
    <w:p>
      <w:pPr>
        <w:spacing w:after="120" w:line="276" w:lineRule="auto"/>
        <w:ind w:firstLine="709"/>
        <w:jc w:val="both"/>
      </w:pPr>
      <w:r>
        <w:rPr>
          <w:rFonts w:ascii="Times New Roman" w:hAnsi="Times New Roman"/>
          <w:b/>
          <w:i w:val="0"/>
          <w:sz w:val="24"/>
        </w:rPr>
        <w:t>Товар оригинальный — право исчерпано.</w:t>
      </w:r>
      <w:r>
        <w:rPr>
          <w:rFonts w:ascii="Times New Roman" w:hAnsi="Times New Roman"/>
          <w:b w:val="0"/>
          <w:i w:val="0"/>
          <w:sz w:val="24"/>
        </w:rPr>
        <w:t xml:space="preserve"> Статьёй 1487 ГК РФ установлено: «Не является нарушением исключительного права на товарный знак использование этого товарного знака другими лицами в отношении товаров, которые были введены в гражданский оборот на территории Российской Федерации непосредственно правообладателем или с его согласия.» Товар введён в оборот самим правообладателем или с его согласия: [документы о закупке у официального дистрибьютора, сертификаты, маркировка «Честный знак»]. Он не является контрафактным по смыслу пункта 1 статьи 1515 ГК РФ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w:t>
      </w:r>
    </w:p>
    <w:p>
      <w:pPr>
        <w:spacing w:after="120" w:line="276" w:lineRule="auto"/>
        <w:ind w:firstLine="709"/>
        <w:jc w:val="both"/>
      </w:pPr>
      <w:r>
        <w:rPr>
          <w:rFonts w:ascii="Times New Roman" w:hAnsi="Times New Roman"/>
          <w:b/>
          <w:i w:val="0"/>
          <w:sz w:val="24"/>
        </w:rPr>
        <w:t>Ответчик не знал и не должен был знать о нарушении.</w:t>
      </w:r>
      <w:r>
        <w:rPr>
          <w:rFonts w:ascii="Times New Roman" w:hAnsi="Times New Roman"/>
          <w:b w:val="0"/>
          <w:i w:val="0"/>
          <w:sz w:val="24"/>
        </w:rPr>
        <w:t xml:space="preserve"> Пунктом 7 статьи 1252.1 ГК РФ установлено: «Если нарушение было совершено лицом при осуществлении им предпринимательской деятельности и при этом нарушитель не знал и не должен был знать, что допускает нарушение исключительного права, суд может определить размер компенсации, взыскиваемой в соответствии с абзацем вторым пункта 2 настоящей статьи, в пределах от десяти тысяч до пятисот тысяч рублей и размер компенсации, взыскиваемой в соответствии с абзацами третьим и четвертым пункта 2 настоящей статьи, в пределах от однократной до двукратной стоимости контрафактных материальных носителей либо права использования результата интеллектуальной деятельности или средства индивидуализации.» Ответчик приобрёл товар у [поставщика] по договору с заверениями о правомерности, с документами [декларация соответствия, УПД]; признаков контрафакта не было.</w:t>
      </w:r>
    </w:p>
    <w:p>
      <w:pPr>
        <w:spacing w:after="120" w:line="276" w:lineRule="auto"/>
        <w:ind w:firstLine="709"/>
        <w:jc w:val="both"/>
      </w:pPr>
      <w:r>
        <w:rPr>
          <w:rFonts w:ascii="Times New Roman" w:hAnsi="Times New Roman"/>
          <w:b/>
          <w:i w:val="0"/>
          <w:sz w:val="24"/>
        </w:rPr>
        <w:t>Несколько объектов в одном носителе — единая компенсация.</w:t>
      </w:r>
      <w:r>
        <w:rPr>
          <w:rFonts w:ascii="Times New Roman" w:hAnsi="Times New Roman"/>
          <w:b w:val="0"/>
          <w:i w:val="0"/>
          <w:sz w:val="24"/>
        </w:rPr>
        <w:t xml:space="preserve"> Пунктом 4 статьи 1252.1 ГК РФ установлено: «Если в одном контрафактном материальном носителе незаконно использовано несколько результатов интеллектуальной деятельности или средств индивидуализации, то независимо от количества этих результатов интеллектуальной деятельности или средств индивидуализации:» «общий размер компенсации, взыскиваемой в соответствии с абзацем вторым пункта 2 настоящей статьи, определяется судом в пределах от минимального размера до двукратного максимального размера компенсации, предусмотренных положениями настоящего Кодекса для случаев нарушения одного исключительного права на определенный вид результатов интеллектуальной деятельности или определенный вид средств индивидуализации. Если в контрафактном материальном носителе выражены результаты интеллектуальной деятельности и средства индивидуализации, в отношении которых установлены различные пределы компенсации в твердом размере, то общий размер компенсации определяется судом в пределах от наибольшего минимального размера до наибольшего двукратного максимального размера компенсации» Истец требует компенсацию отдельно за каждый [товарный знак / изображение], размещённый на одном товаре, что противоречит этой норме.</w:t>
      </w:r>
    </w:p>
    <w:p>
      <w:pPr>
        <w:spacing w:after="120" w:line="276" w:lineRule="auto"/>
        <w:ind w:firstLine="709"/>
        <w:jc w:val="both"/>
      </w:pPr>
      <w:r>
        <w:rPr>
          <w:rFonts w:ascii="Times New Roman" w:hAnsi="Times New Roman"/>
          <w:b/>
          <w:i w:val="0"/>
          <w:sz w:val="24"/>
        </w:rPr>
        <w:t>Размер компенсации явно завышен.</w:t>
      </w:r>
      <w:r>
        <w:rPr>
          <w:rFonts w:ascii="Times New Roman" w:hAnsi="Times New Roman"/>
          <w:b w:val="0"/>
          <w:i w:val="0"/>
          <w:sz w:val="24"/>
        </w:rPr>
        <w:t xml:space="preserve"> Абзацем пятым пункта 2 статьи 1252.1 ГК РФ установлено: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 Нарушение [единичное, кратковременное, товар реализован в количестве [__] шт. на сумму [сумма] рублей], у правообладателя нет доказательств реальных потерь. Суд не мотивировал размер компенсации; она подлежала определению в минимальном размере.</w:t>
      </w:r>
    </w:p>
    <w:p>
      <w:pPr>
        <w:spacing w:after="120" w:line="276" w:lineRule="auto"/>
        <w:ind w:firstLine="709"/>
        <w:jc w:val="both"/>
      </w:pPr>
      <w:r>
        <w:rPr>
          <w:rFonts w:ascii="Times New Roman" w:hAnsi="Times New Roman"/>
          <w:b/>
          <w:i w:val="0"/>
          <w:sz w:val="24"/>
        </w:rPr>
        <w:t>Компенсация в двукратном размере стоимости права не обоснована.</w:t>
      </w:r>
      <w:r>
        <w:rPr>
          <w:rFonts w:ascii="Times New Roman" w:hAnsi="Times New Roman"/>
          <w:b w:val="0"/>
          <w:i w:val="0"/>
          <w:sz w:val="24"/>
        </w:rPr>
        <w:t xml:space="preserve"> Подпунктом 3 пункта 4 статьи 1515 ГК РФ: «в размере двукратной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тем способом, который использовал нарушитель.» Истец не представил лицензионных договоров, подтверждающих обычную цену права использования тем же способом.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1252, 1252.1, 1484, 1487, 1515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