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Ответчик — пользователь программы (заявитель апелляционной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правообладатель: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для организации / 10 000 руб. для индивидуального предпринимателя (подп. 19 п. 1 ст. 333.21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взыскании компенсации за нарушение исключительного права на программу для ЭВМ</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исковые требования [наименование истца] к [наименование заявителя жалобы] о взыскании компенсации за нарушение исключительного права на программу для ЭВМ [наименование] в размере [сумма] рублей.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компенсацию, суд опирался на недопустимые доказательства использования, не учёл правомерное владение экземплярами, использование в пределах лицензии и отсутствие вины ответчика, а также завысил компенсацию (пункты 1, 2 и 4 части 1 статьи 270 АПК РФ).</w:t>
      </w:r>
    </w:p>
    <w:p>
      <w:pPr>
        <w:spacing w:after="120" w:line="276" w:lineRule="auto"/>
        <w:ind w:firstLine="709"/>
        <w:jc w:val="both"/>
      </w:pPr>
      <w:r>
        <w:rPr>
          <w:rFonts w:ascii="Times New Roman" w:hAnsi="Times New Roman"/>
          <w:b/>
          <w:i w:val="0"/>
          <w:sz w:val="24"/>
        </w:rPr>
        <w:t>Факт использования не доказан допустимыми доказательствами.</w:t>
      </w:r>
      <w:r>
        <w:rPr>
          <w:rFonts w:ascii="Times New Roman" w:hAnsi="Times New Roman"/>
          <w:b w:val="0"/>
          <w:i w:val="0"/>
          <w:sz w:val="24"/>
        </w:rPr>
        <w:t xml:space="preserve"> [Протокол осмотра составлен без понятых / компьютеры принадлежат арендатору помещения / программы установлены, но не запускались — пробные версии с истекшим сроком.] Согласно части 1 статьи 65 АПК РФ доказать установку и использование обязан истец.</w:t>
      </w:r>
    </w:p>
    <w:p>
      <w:pPr>
        <w:spacing w:after="120" w:line="276" w:lineRule="auto"/>
        <w:ind w:firstLine="709"/>
        <w:jc w:val="both"/>
      </w:pPr>
      <w:r>
        <w:rPr>
          <w:rFonts w:ascii="Times New Roman" w:hAnsi="Times New Roman"/>
          <w:b/>
          <w:i w:val="0"/>
          <w:sz w:val="24"/>
        </w:rPr>
        <w:t>Ответчик правомерно владел экземплярами программ.</w:t>
      </w:r>
      <w:r>
        <w:rPr>
          <w:rFonts w:ascii="Times New Roman" w:hAnsi="Times New Roman"/>
          <w:b w:val="0"/>
          <w:i w:val="0"/>
          <w:sz w:val="24"/>
        </w:rPr>
        <w:t xml:space="preserve"> Пунктом 1 статьи 1280 ГК РФ установлено: «Лицо, правомерно владеющее экземпляром программы для ЭВМ или экземпляром базы данных (пользователь), вправе без разрешения автора или иного правообладателя и без выплаты дополнительного вознаграждения:» «осуществлять действия, необходимые для функционирования программы для ЭВМ или базы данных (в том числе в ходе использования в соответствии с их назначением), включая запись и хранение в памяти ЭВМ (одной ЭВМ или одного пользователя сети), внесение в программу для ЭВМ или базу данных изменений исключительно в целях их функционирования на технических средствах пользователя, исправление явных ошибок, если иное не предусмотрено договором с правообладателем» Программы [приобретены вместе с компьютерами (OEM-лицензии) — документы поставщика / используются по лицензионному договору от «[дата]» с [наименование] / являются свободным ПО].</w:t>
      </w:r>
    </w:p>
    <w:p>
      <w:pPr>
        <w:spacing w:after="120" w:line="276" w:lineRule="auto"/>
        <w:ind w:firstLine="709"/>
        <w:jc w:val="both"/>
      </w:pPr>
      <w:r>
        <w:rPr>
          <w:rFonts w:ascii="Times New Roman" w:hAnsi="Times New Roman"/>
          <w:b/>
          <w:i w:val="0"/>
          <w:sz w:val="24"/>
        </w:rPr>
        <w:t>Использование способом, предусмотренным лицензией.</w:t>
      </w:r>
      <w:r>
        <w:rPr>
          <w:rFonts w:ascii="Times New Roman" w:hAnsi="Times New Roman"/>
          <w:b w:val="0"/>
          <w:i w:val="0"/>
          <w:sz w:val="24"/>
        </w:rPr>
        <w:t xml:space="preserve"> Пунктом 3 статьи 1237 ГК РФ нарушением является лишь использование способом, не предусмотренным договором: «Использование результата интеллектуальной деятельности или средства индивидуализации способом, не предусмотренным лицензионным договором, либо по прекращении действия такого договора, либо иным образом за пределами прав, предоставленных лицензиату по договору, влечет ответственность за нарушение исключительного права на результат интеллектуальной деятельности или на средство индивидуализации, установленную настоящим Кодексом, другими законами или договором.» Количество установок не превышает количества лицензий [__].</w:t>
      </w:r>
    </w:p>
    <w:p>
      <w:pPr>
        <w:spacing w:after="120" w:line="276" w:lineRule="auto"/>
        <w:ind w:firstLine="709"/>
        <w:jc w:val="both"/>
      </w:pPr>
      <w:r>
        <w:rPr>
          <w:rFonts w:ascii="Times New Roman" w:hAnsi="Times New Roman"/>
          <w:b/>
          <w:i w:val="0"/>
          <w:sz w:val="24"/>
        </w:rPr>
        <w:t>Ответчик не знал о нарушении: программы установлены подрядчиком.</w:t>
      </w:r>
      <w:r>
        <w:rPr>
          <w:rFonts w:ascii="Times New Roman" w:hAnsi="Times New Roman"/>
          <w:b w:val="0"/>
          <w:i w:val="0"/>
          <w:sz w:val="24"/>
        </w:rPr>
        <w:t xml:space="preserve"> Пунктом 7 статьи 1252.1 ГК РФ установлено: «Если нарушение было совершено лицом при осуществлении им предпринимательской деятельности и при этом нарушитель не знал и не должен был знать, что допускает нарушение исключительного права, суд может определить размер компенсации, взыскиваемой в соответствии с абзацем вторым пункта 2 настоящей статьи, в пределах от десяти тысяч до пятисот тысяч рублей и размер компенсации, взыскиваемой в соответствии с абзацами третьим и четвертым пункта 2 настоящей статьи, в пределах от однократной до двукратной стоимости контрафактных материальных носителей либо права использования результата интеллектуальной деятельности или средства индивидуализации.» Программы установлены IT-подрядчиком [наименование] по договору, содержащему заверение о лицензионной чистоте ПО; ответчик требует от подрядчика возмещения в регрессном порядке.</w:t>
      </w:r>
    </w:p>
    <w:p>
      <w:pPr>
        <w:spacing w:after="120" w:line="276" w:lineRule="auto"/>
        <w:ind w:firstLine="709"/>
        <w:jc w:val="both"/>
      </w:pPr>
      <w:r>
        <w:rPr>
          <w:rFonts w:ascii="Times New Roman" w:hAnsi="Times New Roman"/>
          <w:b/>
          <w:i w:val="0"/>
          <w:sz w:val="24"/>
        </w:rPr>
        <w:t>Размер компенсации завышен.</w:t>
      </w:r>
      <w:r>
        <w:rPr>
          <w:rFonts w:ascii="Times New Roman" w:hAnsi="Times New Roman"/>
          <w:b w:val="0"/>
          <w:i w:val="0"/>
          <w:sz w:val="24"/>
        </w:rPr>
        <w:t xml:space="preserve"> Подпунктом 3 пункта 1 статьи 1301 ГК РФ: «в размере двукратной стоимости права использования произведения, определяемой исходя из цены, которая при сравнимых обстоятельствах обычно взимается за правомерное использование произведения тем способом, который использовал нарушитель.» Истец рассчитал двукратную стоимость по розничной цене коробочной версии, тогда как ответчик использовал [устаревшую версию / корпоративные лицензии стоимостью [сумма] рублей].</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Ответчик не мог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уплачена по подпункту 19 пункта 1 статьи 333.21 Налогового кодекса Российской Федерации: «19) при подаче апелляционной жалобы, а также при подаче кассационной жалобы на судебный приказ: для физических лиц - 10 000 рублей; для организаций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1237, 1250, 1280, 1301 ГК РФ,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исковых требований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