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правообладатель фирменного наименования: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прекращении использования сходного фирменного наименования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об обязании прекратить использование фирменного наименования «[__]», тождественного (сходного) с фирменным наименованием истца [и о взыскании убытков].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Обязав прекратить использование наименования, суд не учёл, что стороны осуществляют разные виды деятельности, наименования не сходны до степени смешения, право ответчика возникло раньше, а требование заявлено в необоснованно широком объёме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и истец осуществляют разные виды деятельности.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1474 ГК РФ установлено: «Не допускается использование юридическим лицом фирменного наименования, тождественного фирменному наименованию другого юридического лица или сходного с ним до степени смешения, если указанные юридические лица осуществляют аналогичную деятельность и фирменное наименование второго юридического лица было включено в единый государственный реестр юридических лиц ранее, чем фирменное наименование первого юридического лица.» Истец фактически занимается [видом деятельности], ответчик — [иным видом]; совпадение кодов ОКВЭД в ЕГРЮЛ без фактической деятельности не означает аналогичной деятельности.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Наименования не сходны до степени смешения.</w:t>
      </w:r>
      <w:r>
        <w:rPr>
          <w:rFonts w:ascii="Times New Roman" w:hAnsi="Times New Roman"/>
          <w:b w:val="0"/>
          <w:i w:val="0"/>
          <w:sz w:val="24"/>
        </w:rPr>
        <w:t xml:space="preserve"> Отличительная часть ответчика «[__]» [отличается по звучанию и смыслу / является общеупотребительным словом, не обладающим различительной способностью]; угрозы смешения в глазах контрагентов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Фирменное наименование ответчика возникло раньше [или одновременно].</w:t>
      </w:r>
      <w:r>
        <w:rPr>
          <w:rFonts w:ascii="Times New Roman" w:hAnsi="Times New Roman"/>
          <w:b w:val="0"/>
          <w:i w:val="0"/>
          <w:sz w:val="24"/>
        </w:rPr>
        <w:t xml:space="preserve"> Право ответчика на фирменное наименование возникло с даты регистрации «[дата]» — [ранее истца]; приоритет имеет более раннее наименование.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заявлено в необоснованно широком объёме.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6 статьи 1252 ГК РФ под частичным запретом понимается: «в отношении фирменного наименования запрет его использования в определенных видах деятельности» Даже при совпадении деятельности возможен лишь запрет использования в определённых видах деятельности, а не полное изменение наименования.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1474 ГК РФ: «Юридическое лицо, нарушившее правила пункта 3 настоящей статьи, по требованию правообладателя обязано по своему выбору прекратить использование фирменного наименования, тождественного фирменному наименованию правообладателя или сходного с ним до степени смешения, в отношении видов деятельности, аналогичных видам деятельности, осуществляемым правообладателем, или изменить свое фирменное наименование, а также обязано возместить правообладателю причиненные убытки.» Истец не доказал утраты клиентов или иных потерь, вызванных наименованием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обязан выступать в обороте под своим наименованием.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1473 ГК РФ установлено: «Юридическое лицо, являющееся коммерческой организацией, выступает в гражданском обороте под своим фирменным наименованием, которое определяется в его учредительных документах и включается в единый государственный реестр юридических лиц при государственной регистрации юридического лица.» Наименование ответчика зарегистрировано налоговым органом, используется в договорах, отчётности и на сайте; его смена повлечёт для ответчика значительные расходы [перерегистрация, лицензии, переоформление договоров], несоразмерные интересу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злоупотребляет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знал о наименовании ответчика [__] лет и не возражал; иск предъявлен после отказа ответчика выкупить у истца [товарный знак / долю].]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1473, 1474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