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владелец коммерческого обозначения: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прекращении использования сходного коммерческого обозначения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обязании прекратить использование коммерческого обозначения «[__]», сходного с коммерческим обозначением истца.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Обязав прекратить использование обозначения, суд не проверил возникновение у истца исключительного права, не учёл, что обозначение ответчика не способно ввести в заблуждение, используется на основании собственного права, а запрет не ограничен территорией и видом деятельности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не возникло исключительного права на коммерческое обозначение.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1539 ГК РФ: «Правообладателю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(исключительное право на коммерческое обозначение), в том числе путем указания коммерческого обозначения на вывесках, бланках, в счетах и на иной документации, в объявлениях и рекламе, на товарах или их упаковках, в сети "Интернет",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территории.» Обозначение истца [не обладает различительной способностью — общеупотребительное слово / использовалось менее года / известно лишь в пределах одного здания], поэтому не стало известным в пределах территории как обозначение именно его предприятия.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Обозначение ответчика не способно ввести в заблуждение.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1539 ГК РФ: «Не допускается использование коммерческого обозначения, способного ввести в заблуждение относительно принадлежности предприятия определенному лицу, в частности обозначения, сходного до степени смешения с фирменным наименованием, товарным знаком или защищенным исключительным правом коммерческим обозначением, принадлежащим другому лицу, у которого соответствующее исключительное право возникло ранее.» Предприятия сторон [расположены в разных городах / работают в разных сферах]; обозначения [различаются графически и по звучанию].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подлежит ограничению территорией и видом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6 статьи 1252 ГК РФ: «в отношении коммерческого обозначения запрет его использования в пределах определенной территории и (или) в определенных видах деятельности.» Полный запрет использования обозначения ответчиком несоразмерен.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Обозначение используется ответчиком на основании собственного права.</w:t>
      </w:r>
      <w:r>
        <w:rPr>
          <w:rFonts w:ascii="Times New Roman" w:hAnsi="Times New Roman"/>
          <w:b w:val="0"/>
          <w:i w:val="0"/>
          <w:sz w:val="24"/>
        </w:rPr>
        <w:t xml:space="preserve"> [Ответчику принадлежит товарный знак № [__] / фирменное наименование с более ранней датой приоритета], и по правилу пункта 6 статьи 1252 ГК РФ преимущество имеет более раннее средство индивидуализации.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1539 ГК РФ: «Лицо, нарушившее правила пункта 2 настоящей статьи, обязано по требованию правообладателя прекратить использование коммерческого обозначения и возместить правообладателю причиненные убытки.» Истец не доказал потерь, вызванных действиями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1538, 1539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