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взыскатель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лицо, заявившее права на имущество: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об освобождении имущества от ареста (исключении из описи)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об освобождении от ареста (исключении из описи) [имущества], арестованного по исполнительному производству № __ в отношении должника [наименование].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Освобождая имущество от ареста, суд не проверил доказательства принадлежности имущества истцу, не учёл, что оно находилось во владении должника, а сделка, на которой основан иск, направлена на вывод имущества от обращения взыскания (пункты 1, 2 и 4 части 1 статьи 270 АПК РФ).</w:t>
      </w:r>
    </w:p>
    <w:p>
      <w:pPr>
        <w:spacing w:after="120" w:line="276" w:lineRule="auto"/>
        <w:ind w:firstLine="709"/>
        <w:jc w:val="both"/>
      </w:pPr>
      <w:r>
        <w:rPr>
          <w:rFonts w:ascii="Times New Roman" w:hAnsi="Times New Roman"/>
          <w:b/>
          <w:i w:val="0"/>
          <w:sz w:val="24"/>
        </w:rPr>
        <w:t>Истец не доказал принадлежность ему арестованного имущества.</w:t>
      </w:r>
      <w:r>
        <w:rPr>
          <w:rFonts w:ascii="Times New Roman" w:hAnsi="Times New Roman"/>
          <w:b w:val="0"/>
          <w:i w:val="0"/>
          <w:sz w:val="24"/>
        </w:rPr>
        <w:t xml:space="preserve"> Частью 1 статьи 119 Федерального закона от 02.10.2007 № 229-ФЗ «Об исполнительном производстве» установлено: «В случае возникновения спора, связанного с принадлежностью имущества, на которое обращается взыскание, заинтересованные лица вправе обратиться в суд с иском об освобождении имущества от наложения ареста или исключении его из описи.» Право на иск имеет лицо, которое докажет своё право на имущество. Представленные истцом [договор купли-продажи / аренды / хранения] [не позволяют идентифицировать имущество / составлены после возбуждения исполнительного производства / не подтверждены платежами и бухгалтерским учётом].</w:t>
      </w:r>
    </w:p>
    <w:p>
      <w:pPr>
        <w:spacing w:after="120" w:line="276" w:lineRule="auto"/>
        <w:ind w:firstLine="709"/>
        <w:jc w:val="both"/>
      </w:pPr>
      <w:r>
        <w:rPr>
          <w:rFonts w:ascii="Times New Roman" w:hAnsi="Times New Roman"/>
          <w:b/>
          <w:i w:val="0"/>
          <w:sz w:val="24"/>
        </w:rPr>
        <w:t>Имущество находилось во владении должника.</w:t>
      </w:r>
      <w:r>
        <w:rPr>
          <w:rFonts w:ascii="Times New Roman" w:hAnsi="Times New Roman"/>
          <w:b w:val="0"/>
          <w:i w:val="0"/>
          <w:sz w:val="24"/>
        </w:rPr>
        <w:t xml:space="preserve"> Арест произведён по месту нахождения должника, имущество использовалось им в хозяйственной деятельности, учитывалось на его балансе; документы истца о праве собственности противоречат этим обстоятельствам.</w:t>
      </w:r>
    </w:p>
    <w:p>
      <w:pPr>
        <w:spacing w:after="120" w:line="276" w:lineRule="auto"/>
        <w:ind w:firstLine="709"/>
        <w:jc w:val="both"/>
      </w:pPr>
      <w:r>
        <w:rPr>
          <w:rFonts w:ascii="Times New Roman" w:hAnsi="Times New Roman"/>
          <w:b/>
          <w:i w:val="0"/>
          <w:sz w:val="24"/>
        </w:rPr>
        <w:t>Сделка, на которой основан иск, направлена на вывод имущества от обращения взыскания.</w:t>
      </w:r>
      <w:r>
        <w:rPr>
          <w:rFonts w:ascii="Times New Roman" w:hAnsi="Times New Roman"/>
          <w:b w:val="0"/>
          <w:i w:val="0"/>
          <w:sz w:val="24"/>
        </w:rPr>
        <w:t xml:space="preserve"> Договор между истцом и должником [заключён между аффилированными лицами / по заниженной цене / без реального исполнения] и является мнимым (пункт 1 статьи 170 ГК РФ: «Мнимая сделка, то есть сделка, совершенная лишь для вида, без намерения создать соответствующие ей правовые последствия, ничтожна.»).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spacing w:after="120" w:line="276" w:lineRule="auto"/>
        <w:ind w:firstLine="709"/>
        <w:jc w:val="both"/>
      </w:pPr>
      <w:r>
        <w:rPr>
          <w:rFonts w:ascii="Times New Roman" w:hAnsi="Times New Roman"/>
          <w:b/>
          <w:i w:val="0"/>
          <w:sz w:val="24"/>
        </w:rPr>
        <w:t>Право владельца на защиту не освобождает имущество должника от ответственности по его долгам.</w:t>
      </w:r>
      <w:r>
        <w:rPr>
          <w:rFonts w:ascii="Times New Roman" w:hAnsi="Times New Roman"/>
          <w:b w:val="0"/>
          <w:i w:val="0"/>
          <w:sz w:val="24"/>
        </w:rPr>
        <w:t xml:space="preserve"> Статьёй 305 ГК РФ: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Истец не является ни собственником, ни законным владельцем имущества по основанию, предусмотренному законом или договором.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170 ГК РФ, статьёй 119 Федерального закона «Об исполнительном производстве»,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