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автор отзыва (владелец площадки)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организация: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об удалении сведений из сети «Интернет» и их опровержении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признании сведений, размещённых на странице [адрес], не соответствующими действительности и порочащими деловую репутацию истца, об их удалении и опровержении.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Обязав удалить отзыв и опровергнуть его, суд признал фактами выражение мнения о качестве услуг, не учёл соответствие сведений действительности, привлёк ненадлежащего ответчика и обязал удалить материалы в несоразмерном объёме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Отзыв потребителя — выражение его мнения о качестве услуг.</w:t>
      </w:r>
      <w:r>
        <w:rPr>
          <w:rFonts w:ascii="Times New Roman" w:hAnsi="Times New Roman"/>
          <w:b w:val="0"/>
          <w:i w:val="0"/>
          <w:sz w:val="24"/>
        </w:rPr>
        <w:t xml:space="preserve"> Абзацем третьим пункта 9 постановления Пленума ВС РФ № 3 разъяснено: «По смыслу статьи 29 Конституции Российской Федерации, статьи 19 Международного пакта о гражданских и политических правах от 16 декабря 1966 года, гарантирующих каждому право на свободу мысли и слова, а также на свободу массовой информации, при рассмотрении дел о защите чести, достоинства и деловой репутации судам следует различать имеющие место утверждения о фактах, соответствие действительности которых можно проверить, и оценочные суждения, мнения, убеждения, которые не являются предметом судебной защиты в порядке статьи 152 Гражданского кодекса Российской Федерации, поскольку, являясь выражением субъективного мнения и взглядов ответчика, не могут быть проверены на предмет соответствия их действительности.» Фразы «[цитата]» выражены в форме мнения («на мой взгляд», «я считаю»), не поддаются проверке на соответствие действительности. Суд необоснованно отказал ответчику в назначении экспертизы [или не обсудил этот вопрос]; ответчик ходатайствует перед судом апелляционной инстанции о назначении лингвистической экспертизы (часть 1 статьи 82 АПК РФ: «Для разъяснения возникающих при рассмотрении дела вопросов, требующих специальных знаний, арбитражный суд назначает экспертизу по ходатайству лица, участвующего в деле, или с согласия лиц, участвующих в деле. В случае,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экспертизы, арбитражный суд может назначить экспертизу по своей инициативе.»).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Сведения соответствуют действительности.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152 ГК РФ бремя доказать соответствие действительности лежит на ответчике — и ответчик его несёт: [чек, договор, переписка с истцом, фото товара, ответ истца на претензию] подтверждают изложенные факты. Абзацем четвёртым пункта 7 постановления Пленума ВС РФ № 3: «Не соответствующими действительности сведениями являются утверждения о фактах или событиях, которые не имели места в реальности во время, к которому относятся оспариваемые сведения. Не могут рассматриваться как не соответствующие действительности сведения, содержащиеся в судебных решениях и приговорах, постановлениях органов предварительного следствия и других процессуальных или иных официальных документах, для обжалования и оспаривания которых предусмотрен иной установленный законами судебный порядок (например, не могут быть опровергнуты в порядке статьи 152 Гражданского кодекса Российской Федерации сведения, изложенные в приказе об увольнении, поскольку такой приказ может быть оспорен только в порядке, предусмотренном Трудовым кодексом Российской Федерации).»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— не надлежащий ответчик.</w:t>
      </w:r>
      <w:r>
        <w:rPr>
          <w:rFonts w:ascii="Times New Roman" w:hAnsi="Times New Roman"/>
          <w:b w:val="0"/>
          <w:i w:val="0"/>
          <w:sz w:val="24"/>
        </w:rPr>
        <w:t xml:space="preserve"> Пунктом 5 постановления Пленума ВС РФ № 3: «Надлежащими ответчиками по искам о защите чести, достоинства и деловой репутации являются авторы не соответствующих действительности порочащих сведений, а также лица, распространившие эти сведения.» [Владелец площадки не является автором отзыва; автор указан в профиле / площадка — информационный посредник, не изменявший содержание и удаливший материал по первому требованию.]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Требование об удалении всех отзывов несоразмерно.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152 ГК РФ: «Если сведения, порочащие честь, достоинство или деловую репутацию гражданина, оказались после их распространения доступными в сети "Интернет", гражданин вправе требовать удаления соответствующей информации, а также опровержения указанных сведений способом, обеспечивающим доведение опровержения до пользователей сети "Интернет".» Удалению подлежит только информация, признанная судом не соответствующей действительности и порочащей, а не все негативные отзывы об истце; требование удалить [весь раздел / все отзывы за период] направлено на подавление критики потребителей.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 — давление на потребителя.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 ГК РФ: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 [Иск предъявлен после отказа истца удовлетворить претензию автора отзыва.]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10, 152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