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смежный правообладатель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правообладатель: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устранении препятствий в пользовании имуществом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устранении препятствий в пользовании [земельным участком / зданием] путём [демонтажа / сноса / освобождения].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негаторный иск, суд не установил нарушения права истца, не учёл, что ответчик действует в пределах своих прав, злоупотребление правом истцом и неисполнимость решения в заявленной форме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Нарушения права истца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установлено: «Собственник может требовать устранения всяких нарушений его права, хотя бы эти нарушения и не были соединены с лишением владения.» Истец должен доказать, что действия ответчика реально нарушают его право. [Ограждение возведено в границах участка ответчика по данным ЕГРН / проезд обеспечен по иному маршруту / оборудование размещено на основании договора].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действует в пределах своих прав.</w:t>
      </w:r>
      <w:r>
        <w:rPr>
          <w:rFonts w:ascii="Times New Roman" w:hAnsi="Times New Roman"/>
          <w:b w:val="0"/>
          <w:i w:val="0"/>
          <w:sz w:val="24"/>
        </w:rPr>
        <w:t xml:space="preserve"> [Ответчику принадлежит смежный участок (право аренды); размещение объекта согласовано органом местного самоуправления / предусмотрено договором с истцом / является сервитутом, установленным в пользу ответчика]. Законное осуществление права не может считаться нарушением.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злоупотребляет правом.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[Объект существует более [__] лет, истец приобрёл помещение, зная о нём; требование о демонтаже несоразмерно — истцу достаточно [иного способа защиты].]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неисполнимо в заявленной форме.</w:t>
      </w:r>
      <w:r>
        <w:rPr>
          <w:rFonts w:ascii="Times New Roman" w:hAnsi="Times New Roman"/>
          <w:b w:val="0"/>
          <w:i w:val="0"/>
          <w:sz w:val="24"/>
        </w:rPr>
        <w:t xml:space="preserve"> Истец не указал конкретные действия, координаты и параметры объекта, подлежащего демонтажу; ответчик ходатайствует перед судом апелляционной инстанции о назначении землеустроительной (строительно-технической) экспертизы для установления границ и наличия наложения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 завышена.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Суд не установил разумный срок исполнения, а неустойку определил без учёта принципов справедливости и соразмерности; они подлежат пересмотру.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304, 308.3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