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обращении взыскания на заложенное имущество</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об обращении взыскания на заложенное имущество — [квартиру / автомобиль] — путём продажи с публичных торгов с начальной продажной ценой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Обращая взыскание, суд не учёл, что нарушение обеспеченного обязательства крайне незначительно, систематичность просрочек не доказана, а начальная продажная цена установлена без оценки и занижена (пункты 1, 2 и 4 части 1 статьи 330 ГПК РФ).</w:t>
      </w:r>
    </w:p>
    <w:p>
      <w:pPr>
        <w:spacing w:after="120" w:line="276" w:lineRule="auto"/>
        <w:ind w:firstLine="709"/>
        <w:jc w:val="both"/>
      </w:pPr>
      <w:r>
        <w:rPr>
          <w:rFonts w:ascii="Times New Roman" w:hAnsi="Times New Roman"/>
          <w:b/>
          <w:i w:val="0"/>
          <w:sz w:val="24"/>
        </w:rPr>
        <w:t>Нарушение обеспеченного обязательства крайне незначительно — обращение взыскания недопустимо.</w:t>
      </w:r>
      <w:r>
        <w:rPr>
          <w:rFonts w:ascii="Times New Roman" w:hAnsi="Times New Roman"/>
          <w:b w:val="0"/>
          <w:i w:val="0"/>
          <w:sz w:val="24"/>
        </w:rPr>
        <w:t xml:space="preserve"> Пунктом 2 статьи 348 Гражданского кодекса Российской Федерации (далее — ГК РФ) установлено: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 «сумма неисполненного обязательства составляет менее чем пять процентов от размера стоимости заложенного имущества» «период просрочки исполнения обязательства, обеспеченного залогом, составляет менее чем три месяца.» Сумма просрочки [сумма] рублей составляет [__] % стоимости предмета залога (менее пяти процентов), период просрочки — [__] месяцев (менее трёх месяцев). Оба условия соблюдены, поэтому обращение взыскания не допускается.</w:t>
      </w:r>
    </w:p>
    <w:p>
      <w:pPr>
        <w:spacing w:after="120" w:line="276" w:lineRule="auto"/>
        <w:ind w:firstLine="709"/>
        <w:jc w:val="both"/>
      </w:pPr>
      <w:r>
        <w:rPr>
          <w:rFonts w:ascii="Times New Roman" w:hAnsi="Times New Roman"/>
          <w:b/>
          <w:i w:val="0"/>
          <w:sz w:val="24"/>
        </w:rPr>
        <w:t>Ответчик вправе прекратить обращение взыскания, погасив просрочку.</w:t>
      </w:r>
      <w:r>
        <w:rPr>
          <w:rFonts w:ascii="Times New Roman" w:hAnsi="Times New Roman"/>
          <w:b w:val="0"/>
          <w:i w:val="0"/>
          <w:sz w:val="24"/>
        </w:rPr>
        <w:t xml:space="preserve"> Пунктом 4 статьи 348 ГК РФ: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 [Ответчик погасил просроченную задолженность «[дата]» — платёжный документ; оснований для обращения взыскания больше нет.]</w:t>
      </w:r>
    </w:p>
    <w:p>
      <w:pPr>
        <w:spacing w:after="120" w:line="276" w:lineRule="auto"/>
        <w:ind w:firstLine="709"/>
        <w:jc w:val="both"/>
      </w:pPr>
      <w:r>
        <w:rPr>
          <w:rFonts w:ascii="Times New Roman" w:hAnsi="Times New Roman"/>
          <w:b/>
          <w:i w:val="0"/>
          <w:sz w:val="24"/>
        </w:rPr>
        <w:t>Систематичность нарушений не доказана.</w:t>
      </w:r>
      <w:r>
        <w:rPr>
          <w:rFonts w:ascii="Times New Roman" w:hAnsi="Times New Roman"/>
          <w:b w:val="0"/>
          <w:i w:val="0"/>
          <w:sz w:val="24"/>
        </w:rPr>
        <w:t xml:space="preserve"> Пунктом 3 статьи 348 ГК РФ: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 Просрочки допускались [__] раз, [менее трёх раз в течение двенадцати месяцев / были незначительными по сроку — 1–3 дня].</w:t>
      </w:r>
    </w:p>
    <w:p>
      <w:pPr>
        <w:spacing w:after="120" w:line="276" w:lineRule="auto"/>
        <w:ind w:firstLine="709"/>
        <w:jc w:val="both"/>
      </w:pPr>
      <w:r>
        <w:rPr>
          <w:rFonts w:ascii="Times New Roman" w:hAnsi="Times New Roman"/>
          <w:b/>
          <w:i w:val="0"/>
          <w:sz w:val="24"/>
        </w:rPr>
        <w:t>Начальная продажная цена занижена.</w:t>
      </w:r>
      <w:r>
        <w:rPr>
          <w:rFonts w:ascii="Times New Roman" w:hAnsi="Times New Roman"/>
          <w:b w:val="0"/>
          <w:i w:val="0"/>
          <w:sz w:val="24"/>
        </w:rPr>
        <w:t xml:space="preserve"> Истец предлагает установить цену [сумма] рублей [по залоговой стоимости из договора пятилетней давности]. Подпунктом 4 пункта 2 статьи 54 Федерального закона «Об ипотеке (залоге недвижимости)» установлено, что суд указывает «начальную продажную цену заложенного имущества при его реализации. Начальная продажная цена имущества на публичных торгах определяется на основе соглашения между залогодателем и залогодержателем, достигнутого в ходе рассмотрения дела в суде, а в случае спора - самим судом. Если начальная продажная цена заложенного имущества определяется на основании отчета оценщика, она устанавливается равной восьмидесяти процентам рыночной стоимости такого имущества, определенной в отчете оценщика. Особенности определения начальной продажной цены заложенного имущества устанавливаются пунктом 9 статьи 77.1 настоящего Федерального закона» Для движимого имущества она определяется в исполнительном производстве. Частью 1 статьи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оценочной экспертизы.</w:t>
      </w:r>
    </w:p>
    <w:p>
      <w:pPr>
        <w:spacing w:after="120" w:line="276" w:lineRule="auto"/>
        <w:ind w:firstLine="709"/>
        <w:jc w:val="both"/>
      </w:pPr>
      <w:r>
        <w:rPr>
          <w:rFonts w:ascii="Times New Roman" w:hAnsi="Times New Roman"/>
          <w:b/>
          <w:i w:val="0"/>
          <w:sz w:val="24"/>
        </w:rPr>
        <w:t>[Если предмет залога — единственное жильё:] Права проживающих в нём лиц.</w:t>
      </w:r>
      <w:r>
        <w:rPr>
          <w:rFonts w:ascii="Times New Roman" w:hAnsi="Times New Roman"/>
          <w:b w:val="0"/>
          <w:i w:val="0"/>
          <w:sz w:val="24"/>
        </w:rPr>
        <w:t xml:space="preserve"> В квартире проживают [несовершеннолетние дети]; суд этого при решении вопроса об отсрочке реализации не учёл.</w:t>
      </w:r>
    </w:p>
    <w:p>
      <w:pPr>
        <w:spacing w:after="120" w:line="276" w:lineRule="auto"/>
        <w:ind w:firstLine="709"/>
        <w:jc w:val="both"/>
      </w:pPr>
      <w:r>
        <w:rPr>
          <w:rFonts w:ascii="Times New Roman" w:hAnsi="Times New Roman"/>
          <w:b/>
          <w:i w:val="0"/>
          <w:sz w:val="24"/>
        </w:rPr>
        <w:t>Отсрочка реализации.</w:t>
      </w:r>
      <w:r>
        <w:rPr>
          <w:rFonts w:ascii="Times New Roman" w:hAnsi="Times New Roman"/>
          <w:b w:val="0"/>
          <w:i w:val="0"/>
          <w:sz w:val="24"/>
        </w:rPr>
        <w:t xml:space="preserve"> [Пунктом 3 статьи 54 Федерального закона «Об ипотеке (залоге недвижимости)» установлено: «3. По заявлению залогодателя суд при наличии уважительных причин вправе в решении об обращении взыскания на заложенное имущество отсрочить его реализацию на срок до одного года в случаях, когда: залогодателем является гражданин независимо от того, какое имущество заложено им по договору об ипотеке, при условии, что залог не связан с осуществлением этим гражданином предпринимательской деятельности» Ответчик [временно утратил доход / находится на лечении], сумма требований не превышает стоимости предмета залога.]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348, 349, 350 ГК РФ, 54, 54.1 Федерального закона «Об ипотеке (залоге недвижимости)»,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