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права на обязательную долю в наследстве</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за истцом права на обязательную долю [__] в наследстве [Ф. И. О. наследодателя] [и права собственности на долю в квартире].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Суд присудил обязательную долю, не установив нетрудоспособности истца на день открытия наследства [или его нахождения на иждивении], не учёл незавещанное имущество и полученное истцом из наследства и отклонил довод о пользовании ответчиком спорным жильём (пункты 1 и 4 части 1 статьи 330 ГПК РФ).</w:t>
      </w:r>
    </w:p>
    <w:p>
      <w:pPr>
        <w:spacing w:after="120" w:line="276" w:lineRule="auto"/>
        <w:ind w:firstLine="709"/>
        <w:jc w:val="both"/>
      </w:pPr>
      <w:r>
        <w:rPr>
          <w:rFonts w:ascii="Times New Roman" w:hAnsi="Times New Roman"/>
          <w:b/>
          <w:i w:val="0"/>
          <w:sz w:val="24"/>
        </w:rPr>
        <w:t>Завещатель свободен в распоряжении имуществом; обязательная доля — исключение для строго определённого круга лиц.</w:t>
      </w:r>
      <w:r>
        <w:rPr>
          <w:rFonts w:ascii="Times New Roman" w:hAnsi="Times New Roman"/>
          <w:b w:val="0"/>
          <w:i w:val="0"/>
          <w:sz w:val="24"/>
        </w:rPr>
        <w:t xml:space="preserve"> Пунктом 1 статьи 1119 Гражданского кодекса Российской Федерации (далее — ГК РФ) установлено: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«Свобода завещания ограничивается правилами об обязательной доле в наследстве (статья 1149).» Пунктом 1 статьи 1149 ГК РФ определён круг лиц и размер доли: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 если иное не предусмотрено настоящей статьей.»</w:t>
      </w:r>
    </w:p>
    <w:p>
      <w:pPr>
        <w:spacing w:after="120" w:line="276" w:lineRule="auto"/>
        <w:ind w:firstLine="709"/>
        <w:jc w:val="both"/>
      </w:pPr>
      <w:r>
        <w:rPr>
          <w:rFonts w:ascii="Times New Roman" w:hAnsi="Times New Roman"/>
          <w:b/>
          <w:i w:val="0"/>
          <w:sz w:val="24"/>
        </w:rPr>
        <w:t>Истец не относится к лицам, имеющим право на обязательную долю.</w:t>
      </w:r>
      <w:r>
        <w:rPr>
          <w:rFonts w:ascii="Times New Roman" w:hAnsi="Times New Roman"/>
          <w:b w:val="0"/>
          <w:i w:val="0"/>
          <w:sz w:val="24"/>
        </w:rPr>
        <w:t xml:space="preserve"> Право определяется на день открытия наследства «[дата]». На эту дату истец [был совершеннолетним и трудоспособным: не достиг пенсионного возраста, инвалидность не установлена / получил инвалидность после открытия наследства / не находился на иждивении наследодателя не менее года до его смерти: имел собственный доход [сумма] рублей, проживал отдельно]. [Если истец ссылается на иждивение:] Иждивение означает, что помощь наследодателя была постоянным и основным источником средств к существованию истца; эпизодическая помощь, подарки, совместное проживание без такой зависимости иждивения не образуют.</w:t>
      </w:r>
    </w:p>
    <w:p>
      <w:pPr>
        <w:spacing w:after="120" w:line="276" w:lineRule="auto"/>
        <w:ind w:firstLine="709"/>
        <w:jc w:val="both"/>
      </w:pPr>
      <w:r>
        <w:rPr>
          <w:rFonts w:ascii="Times New Roman" w:hAnsi="Times New Roman"/>
          <w:b/>
          <w:i w:val="0"/>
          <w:sz w:val="24"/>
        </w:rPr>
        <w:t>Обязательная доля удовлетворяется прежде всего из незавещанного имущества.</w:t>
      </w:r>
      <w:r>
        <w:rPr>
          <w:rFonts w:ascii="Times New Roman" w:hAnsi="Times New Roman"/>
          <w:b w:val="0"/>
          <w:i w:val="0"/>
          <w:sz w:val="24"/>
        </w:rPr>
        <w:t xml:space="preserve"> Пунктом 2 статьи 1149 ГК РФ установлено: «Право на обязательную долю в наследстве удовлетворяется из оставшейся незавещанной части наследственного имущества, даже если это приведет к уменьшению прав других наследников по закону на эту часть имущества, а при недостаточности незавещанной части имущества для осуществления права на обязательную долю - из той части имущества, которая завещана.» Наследодателю принадлежало также [имущество, не охваченное завещанием: вклад, автомобиль, доля], за счёт которого должна удовлетворяться обязательная доля в первую очередь.</w:t>
      </w:r>
    </w:p>
    <w:p>
      <w:pPr>
        <w:spacing w:after="120" w:line="276" w:lineRule="auto"/>
        <w:ind w:firstLine="709"/>
        <w:jc w:val="both"/>
      </w:pPr>
      <w:r>
        <w:rPr>
          <w:rFonts w:ascii="Times New Roman" w:hAnsi="Times New Roman"/>
          <w:b/>
          <w:i w:val="0"/>
          <w:sz w:val="24"/>
        </w:rPr>
        <w:t>В обязательную долю засчитывается всё, что истец получил из наследства.</w:t>
      </w:r>
      <w:r>
        <w:rPr>
          <w:rFonts w:ascii="Times New Roman" w:hAnsi="Times New Roman"/>
          <w:b w:val="0"/>
          <w:i w:val="0"/>
          <w:sz w:val="24"/>
        </w:rPr>
        <w:t xml:space="preserve"> Пунктом 3 статьи 1149 ГК РФ установлено: «В обязательную долю засчитывается все, что наследник, имеющий право на такую долю, получает из наследства по какому-либо основанию, в том числе стоимость установленного в пользу такого наследника завещательного отказа.» Истец [получил по закону __ / является выгодоприобретателем по страхованию / получил завещательный отказ __] — стоимость этого имущества подлежит зачёту.</w:t>
      </w:r>
    </w:p>
    <w:p>
      <w:pPr>
        <w:spacing w:after="120" w:line="276" w:lineRule="auto"/>
        <w:ind w:firstLine="709"/>
        <w:jc w:val="both"/>
      </w:pPr>
      <w:r>
        <w:rPr>
          <w:rFonts w:ascii="Times New Roman" w:hAnsi="Times New Roman"/>
          <w:b/>
          <w:i w:val="0"/>
          <w:sz w:val="24"/>
        </w:rPr>
        <w:t>Расчёт доли.</w:t>
      </w:r>
      <w:r>
        <w:rPr>
          <w:rFonts w:ascii="Times New Roman" w:hAnsi="Times New Roman"/>
          <w:b w:val="0"/>
          <w:i w:val="0"/>
          <w:sz w:val="24"/>
        </w:rPr>
        <w:t xml:space="preserve"> Размер обязательной доли — не менее половины доли, которая причиталась бы истцу при наследовании по закону, исходя из числа всех наследников, которые были бы призваны к наследованию по закону, включая [перечислить]. Истец [неверно определил круг наследников / рассчитал долю от всего наследства без учёта незавещанного имущества]. Правильный размер: [расчёт].</w:t>
      </w:r>
    </w:p>
    <w:p>
      <w:pPr>
        <w:spacing w:after="120" w:line="276" w:lineRule="auto"/>
        <w:ind w:firstLine="709"/>
        <w:jc w:val="both"/>
      </w:pPr>
      <w:r>
        <w:rPr>
          <w:rFonts w:ascii="Times New Roman" w:hAnsi="Times New Roman"/>
          <w:b/>
          <w:i w:val="0"/>
          <w:sz w:val="24"/>
        </w:rPr>
        <w:t>Нотариус разъяснял завещателю правила об обязательной доле.</w:t>
      </w:r>
      <w:r>
        <w:rPr>
          <w:rFonts w:ascii="Times New Roman" w:hAnsi="Times New Roman"/>
          <w:b w:val="0"/>
          <w:i w:val="0"/>
          <w:sz w:val="24"/>
        </w:rPr>
        <w:t xml:space="preserve"> Пунктом 6 статьи 1125 ГК РФ установлено: «При удостоверении завещания нотариус обязан разъяснить завещателю содержание статьи 1149 настоящего Кодекса и сделать об этом на завещании соответствующую надпись.» Завещатель, зная о правах истца, распорядился имуществом в пользу ответчика осознанно.</w:t>
      </w:r>
    </w:p>
    <w:p>
      <w:pPr>
        <w:spacing w:after="120" w:line="276" w:lineRule="auto"/>
        <w:ind w:firstLine="709"/>
        <w:jc w:val="both"/>
      </w:pPr>
      <w:r>
        <w:rPr>
          <w:rFonts w:ascii="Times New Roman" w:hAnsi="Times New Roman"/>
          <w:b/>
          <w:i w:val="0"/>
          <w:sz w:val="24"/>
        </w:rPr>
        <w:t>Суд не применил пункт 4 статьи 1149 ГК РФ.</w:t>
      </w:r>
      <w:r>
        <w:rPr>
          <w:rFonts w:ascii="Times New Roman" w:hAnsi="Times New Roman"/>
          <w:b w:val="0"/>
          <w:i w:val="0"/>
          <w:sz w:val="24"/>
        </w:rPr>
        <w:t xml:space="preserve"> Указанным пунктом установлено: «Если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тому подобное) или использовал в качестве основного источника получения средств к существованию (орудия труда, творческая мастерская и тому подобное), суд может с учетом имущественного положения наследников, имеющих право на обязательную долю, уменьшить размер обязательной доли или отказать в ее присуждении.» Ответчик [проживал в спорной квартире при жизни наследодателя и продолжает в ней проживать, другого жилья не имеет], а истец этим имуществом не пользовался и [имеет собственное жильё, стабильный доход]. Ответчик заявлял об этом в суде первой инстанции, однако суд мотивов отклонения довода не привёл.</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1149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