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строительных работ по одностороннему акту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строительных работ [сумма] рублей по одностороннему акту КС-2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односторонний акт основанием оплаты, суд не учёл, что подрядчик не сообщил о готовности к сдаче, отказ заказчика от подписания мотивирован существенными недостатками, а объём работ завышен (пункты 1, 2 и 4 части 1 статьи 270 АПК РФ).</w:t>
      </w:r>
    </w:p>
    <w:p>
      <w:pPr>
        <w:spacing w:after="120" w:line="276" w:lineRule="auto"/>
        <w:ind w:firstLine="709"/>
        <w:jc w:val="both"/>
      </w:pPr>
      <w:r>
        <w:rPr>
          <w:rFonts w:ascii="Times New Roman" w:hAnsi="Times New Roman"/>
          <w:b/>
          <w:i w:val="0"/>
          <w:sz w:val="24"/>
        </w:rPr>
        <w:t>Подрядчик не сообщил о готовности к сдаче и не организовал приёмку.</w:t>
      </w:r>
      <w:r>
        <w:rPr>
          <w:rFonts w:ascii="Times New Roman" w:hAnsi="Times New Roman"/>
          <w:b w:val="0"/>
          <w:i w:val="0"/>
          <w:sz w:val="24"/>
        </w:rPr>
        <w:t xml:space="preserve"> Пунктом 1 статьи 753 ГК РФ установлено: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Сообщения о готовности результата работ к сдаче заказчик не получал; акты направлены [по почте без исполнительной документации / по адресу, не указанному в Договоре / после того, как заказчик отказался от Договора и подрядчик утратил доступ на объект]. Без уведомления о готовности у заказчика не возникла обязанность приступить к приёмке, и уклонения от неё не было.</w:t>
      </w:r>
    </w:p>
    <w:p>
      <w:pPr>
        <w:spacing w:after="120" w:line="276" w:lineRule="auto"/>
        <w:ind w:firstLine="709"/>
        <w:jc w:val="both"/>
      </w:pPr>
      <w:r>
        <w:rPr>
          <w:rFonts w:ascii="Times New Roman" w:hAnsi="Times New Roman"/>
          <w:b/>
          <w:i w:val="0"/>
          <w:sz w:val="24"/>
        </w:rPr>
        <w:t>Отказ от подписания акта мотивирован, поэтому односторонний акт недействителен.</w:t>
      </w:r>
      <w:r>
        <w:rPr>
          <w:rFonts w:ascii="Times New Roman" w:hAnsi="Times New Roman"/>
          <w:b w:val="0"/>
          <w:i w:val="0"/>
          <w:sz w:val="24"/>
        </w:rPr>
        <w:t xml:space="preserve"> Пунктом 4 статьи 753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Заказчик в срок, установленный пунктом [__] Договора, направил мотивированный отказ от «[дата]»: [перечень недостатков и невыполненных работ]. Эти мотивы подтверждаются [актом обследования, фото- и видеофиксацией, заключением специалиста].</w:t>
      </w:r>
    </w:p>
    <w:p>
      <w:pPr>
        <w:spacing w:after="120" w:line="276" w:lineRule="auto"/>
        <w:ind w:firstLine="709"/>
        <w:jc w:val="both"/>
      </w:pPr>
      <w:r>
        <w:rPr>
          <w:rFonts w:ascii="Times New Roman" w:hAnsi="Times New Roman"/>
          <w:b/>
          <w:i w:val="0"/>
          <w:sz w:val="24"/>
        </w:rPr>
        <w:t>Заказчик вправе отказаться от приёмки при существенных недостатках.</w:t>
      </w:r>
      <w:r>
        <w:rPr>
          <w:rFonts w:ascii="Times New Roman" w:hAnsi="Times New Roman"/>
          <w:b w:val="0"/>
          <w:i w:val="0"/>
          <w:sz w:val="24"/>
        </w:rPr>
        <w:t xml:space="preserve"> Пунктом 6 статьи 753 ГК РФ предусмотрено: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Выявленные недостатки [протечки кровли, отклонения от проекта несущих конструкций] исключают использование объекта по назначению.</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Просрочки кредитора не было.</w:t>
      </w:r>
      <w:r>
        <w:rPr>
          <w:rFonts w:ascii="Times New Roman" w:hAnsi="Times New Roman"/>
          <w:b w:val="0"/>
          <w:i w:val="0"/>
          <w:sz w:val="24"/>
        </w:rPr>
        <w:t xml:space="preserve"> Истец ссылается на пункт 1 статьи 406 ГК РФ: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Однако заказчик совершил все действия, предусмотренные Договором, — рассмотрел акты и мотивированно отказал. Отказ от приёмки некачественного результата является правом заказчика, а не просрочкой.</w:t>
      </w:r>
    </w:p>
    <w:p>
      <w:pPr>
        <w:spacing w:after="120" w:line="276" w:lineRule="auto"/>
        <w:ind w:firstLine="709"/>
        <w:jc w:val="both"/>
      </w:pPr>
      <w:r>
        <w:rPr>
          <w:rFonts w:ascii="Times New Roman" w:hAnsi="Times New Roman"/>
          <w:b/>
          <w:i w:val="0"/>
          <w:sz w:val="24"/>
        </w:rPr>
        <w:t>Проценты не начисляются до возникновения обязанности оплатить.</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Неправомерного удержания денежных средств нет, поскольку срок оплаты по Договору исчисляется от подписания актов, а основания для их подписания отсутствуют.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406, 720, 753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