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работодатель (заявитель апелляционной жалобы): </w:t>
      </w:r>
      <w:r>
        <w:rPr>
          <w:rFonts w:ascii="Times New Roman" w:hAnsi="Times New Roman"/>
          <w:b w:val="0"/>
          <w:i w:val="0"/>
          <w:sz w:val="24"/>
        </w:rPr>
        <w:t>[наименование работодателя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работник: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оплаты сверхурочной работы, компенсации за задержку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оплаты сверхурочной работы за период с «[дата]» по «[дата]» в размере [сумма] рублей, компенсации за задержку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оплату сверхурочной работы, суд не установил, что работа выполнялась по инициативе работодателя, и принял расчёт истца, противоречащий табелям учёта рабочего времени и правилам суммированного учёта (пункты 1, 2 и 4 части 1 статьи 330 ГПК РФ).</w:t>
      </w:r>
    </w:p>
    <w:p>
      <w:pPr>
        <w:spacing w:after="120" w:line="276" w:lineRule="auto"/>
        <w:ind w:firstLine="709"/>
        <w:jc w:val="both"/>
      </w:pPr>
      <w:r>
        <w:rPr>
          <w:rFonts w:ascii="Times New Roman" w:hAnsi="Times New Roman"/>
          <w:b/>
          <w:i w:val="0"/>
          <w:sz w:val="24"/>
        </w:rPr>
        <w:t>Сверхурочной считается только работа по инициативе работодателя.</w:t>
      </w:r>
      <w:r>
        <w:rPr>
          <w:rFonts w:ascii="Times New Roman" w:hAnsi="Times New Roman"/>
          <w:b w:val="0"/>
          <w:i w:val="0"/>
          <w:sz w:val="24"/>
        </w:rPr>
        <w:t xml:space="preserve"> Частью первой статьи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Работодатель истца к сверхурочной работе не привлекал: приказов (распоряжений) о привлечении нет, письменного согласия истца не оформлялось, руководитель задания за пределами рабочего времени не давал. Пребывание истца на рабочем месте после окончания смены по собственной инициативе (личные дела, ожидание транспорта, неэффективная организация собственной работы) сверхурочной работой не является.</w:t>
      </w:r>
    </w:p>
    <w:p>
      <w:pPr>
        <w:spacing w:after="120" w:line="276" w:lineRule="auto"/>
        <w:ind w:firstLine="709"/>
        <w:jc w:val="both"/>
      </w:pPr>
      <w:r>
        <w:rPr>
          <w:rFonts w:ascii="Times New Roman" w:hAnsi="Times New Roman"/>
          <w:b/>
          <w:i w:val="0"/>
          <w:sz w:val="24"/>
        </w:rPr>
        <w:t>Учёт рабочего времени не подтверждает переработку.</w:t>
      </w:r>
      <w:r>
        <w:rPr>
          <w:rFonts w:ascii="Times New Roman" w:hAnsi="Times New Roman"/>
          <w:b w:val="0"/>
          <w:i w:val="0"/>
          <w:sz w:val="24"/>
        </w:rPr>
        <w:t xml:space="preserve"> Частью седьмой статьи 99 ТК РФ: «Работодатель обязан обеспечить точный учет продолжительности сверхурочной работы каждого работника.» Табели учёта рабочего времени за спорный период, подписанные [руководителем и с которыми истец знакомился], отражают работу в пределах нормы. Данные СКУД фиксируют лишь факт нахождения на территории, а не выполнение трудовых обязанностей; [истец находился в столовой / комнате отдыха].</w:t>
      </w:r>
    </w:p>
    <w:p>
      <w:pPr>
        <w:spacing w:after="120" w:line="276" w:lineRule="auto"/>
        <w:ind w:firstLine="709"/>
        <w:jc w:val="both"/>
      </w:pPr>
      <w:r>
        <w:rPr>
          <w:rFonts w:ascii="Times New Roman" w:hAnsi="Times New Roman"/>
          <w:b/>
          <w:i w:val="0"/>
          <w:sz w:val="24"/>
        </w:rPr>
        <w:t>[При суммированном учёте:] Переработка определяется по итогам учётного периода.</w:t>
      </w:r>
      <w:r>
        <w:rPr>
          <w:rFonts w:ascii="Times New Roman" w:hAnsi="Times New Roman"/>
          <w:b w:val="0"/>
          <w:i w:val="0"/>
          <w:sz w:val="24"/>
        </w:rPr>
        <w:t xml:space="preserve"> Истцу установлен суммированный учёт рабочего времени с учётным периодом [квартал / год]; сверхурочная работа определяется по окончании учётного периода, а не по отдельным сменам. По итогам периода норма не превышена — расчёт прилагается.</w:t>
      </w:r>
    </w:p>
    <w:p>
      <w:pPr>
        <w:spacing w:after="120" w:line="276" w:lineRule="auto"/>
        <w:ind w:firstLine="709"/>
        <w:jc w:val="both"/>
      </w:pPr>
      <w:r>
        <w:rPr>
          <w:rFonts w:ascii="Times New Roman" w:hAnsi="Times New Roman"/>
          <w:b/>
          <w:i w:val="0"/>
          <w:sz w:val="24"/>
        </w:rPr>
        <w:t>[Если переработка была:] Она оплачена или компенсирована отдыхом.</w:t>
      </w:r>
      <w:r>
        <w:rPr>
          <w:rFonts w:ascii="Times New Roman" w:hAnsi="Times New Roman"/>
          <w:b w:val="0"/>
          <w:i w:val="0"/>
          <w:sz w:val="24"/>
        </w:rPr>
        <w:t xml:space="preserve"> Статьёй 152 ТК РФ: «Сверхурочная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 период выполнения сверхурочной работы, включая компенсационные и стимулирующие выплаты, в пределах 120 часов в год за первые два часа работы не менее чем в полуторном размере, за последующие часы - не менее чем в двойном размере, начиная со 121-го часа - не менее чем в двойном размере за каждый час. При суммированном учете рабочего времени сверхурочная работа оплачивается исходя из величины сверхурочного времени, приходящегося на день (смену), в который (которую) осуществляется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 если иное не предусмотрено настоящим Кодексом. Конкретные размеры оплаты сверхурочной работы могут определяться коллективным договором и (или) отраслевым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настоящим Кодексом.» [Сверхурочные часы оплачены в [месяц] — расчётный листок / по письменному заявлению истца компенсированы дополнительным временем отдыха — приказ.]</w:t>
      </w:r>
    </w:p>
    <w:p>
      <w:pPr>
        <w:spacing w:after="120" w:line="276" w:lineRule="auto"/>
        <w:ind w:firstLine="709"/>
        <w:jc w:val="both"/>
      </w:pPr>
      <w:r>
        <w:rPr>
          <w:rFonts w:ascii="Times New Roman" w:hAnsi="Times New Roman"/>
          <w:b/>
          <w:i w:val="0"/>
          <w:sz w:val="24"/>
        </w:rPr>
        <w:t>Расчёт истца ошибочен.</w:t>
      </w:r>
      <w:r>
        <w:rPr>
          <w:rFonts w:ascii="Times New Roman" w:hAnsi="Times New Roman"/>
          <w:b w:val="0"/>
          <w:i w:val="0"/>
          <w:sz w:val="24"/>
        </w:rPr>
        <w:t xml:space="preserve"> Истец [применил двойной размер ко всем часам, тогда как первые два часа оплачиваются в полуторном размере / рассчитал от оклада с премией / включил время перерывов на обед].</w:t>
      </w:r>
    </w:p>
    <w:p>
      <w:pPr>
        <w:spacing w:after="120" w:line="276" w:lineRule="auto"/>
        <w:ind w:firstLine="709"/>
        <w:jc w:val="both"/>
      </w:pPr>
      <w:r>
        <w:rPr>
          <w:rFonts w:ascii="Times New Roman" w:hAnsi="Times New Roman"/>
          <w:b/>
          <w:i w:val="0"/>
          <w:sz w:val="24"/>
        </w:rPr>
        <w:t>Суд не применил последствия пропуска истцом срока обращения в суд, о котором заявил ответчик.</w:t>
      </w:r>
      <w:r>
        <w:rPr>
          <w:rFonts w:ascii="Times New Roman" w:hAnsi="Times New Roman"/>
          <w:b w:val="0"/>
          <w:i w:val="0"/>
          <w:sz w:val="24"/>
        </w:rPr>
        <w:t xml:space="preserve"> Статьёй 392 Трудового кодекса Российской Федерации (далее — ТК РФ) установлено: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Истец узнал о нарушении своего права с даты выплаты заработной платы за каждый месяц спорного периода, а обратился в суд лишь «[дата]», то есть по истечении одного года.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заявлял о пропуске срока в суде первой инстанции; пропуск срока — самостоятельное основание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91, 99, 104, 152, 392 ТК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истца] [в полном объёме / в части: указать].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Работник освобождён от судебных расходов по трудовому спору (ст. 393 ТК РФ), поэтому требование о возмещении работодателю госпошлины за апелляционную жалобу не заявляется.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