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об определении порядка пользования жилым помещением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об определении порядка пользования [квартирой] по адресу [__]: [передать истцу комнату __, ответчику — __, места общего пользования — в совместное пользование].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Определяя порядок пользования, суд не учёл сложившийся порядок, реальную нуждаемость сторон и соотношение площади выделенной истцу комнаты с его долей, а предложенный ответчиком вариант не обсудил (пункты 1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Порядок пользования определяется с учётом сложившегося пользования и реальной нуждаемости.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247 Гражданского кодекса Российской Федерации (далее — ГК РФ) установлено: «Владение и пользование имуществом, находящимся в долевой собственности, осуществляются по соглашению всех ее участников, а при недостижении согласия - в порядке, устанавливаемом судом.» Пунктом 2: «Участник долевой собственности имеет право на предоставление в его владение и пользование части общего имущества, соразмерной его доле, а при невозможности этого вправе требовать от других участников, владеющих и пользующихся имуществом, приходящимся на его долю, соответствующей компенсации.» Суд учитывает фактически сложившийся порядок, нуждаемость каждого собственника в жилье и реальную возможность совместного пользования. Право требовать передачи части помещения не безусловно — оно зависит от этих обстоятельств.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Сложившийся порядок пользования нарушается вариантом истца.</w:t>
      </w:r>
      <w:r>
        <w:rPr>
          <w:rFonts w:ascii="Times New Roman" w:hAnsi="Times New Roman"/>
          <w:b w:val="0"/>
          <w:i w:val="0"/>
          <w:sz w:val="24"/>
        </w:rPr>
        <w:t xml:space="preserve"> С «[дата]» ответчик [с семьёй] занимает комнату площадью [__] кв. м, а [комната __ кв. м] используется [детьми ответчика / как общая]. Истец [в квартире не проживает с «[дата]», имеет другое жильё по адресу __, зарегистрирован там]. Предложенный истцом вариант [передать ему большую комнату] не соответствует ни размеру его доли, ни сложившемуся порядку.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не нуждается в использовании помещения.</w:t>
      </w:r>
      <w:r>
        <w:rPr>
          <w:rFonts w:ascii="Times New Roman" w:hAnsi="Times New Roman"/>
          <w:b w:val="0"/>
          <w:i w:val="0"/>
          <w:sz w:val="24"/>
        </w:rPr>
        <w:t xml:space="preserve"> Истец [проживает в собственной квартире / является собственником иных жилых помещений], а иск направлен не на вселение и проживание, а на [понуждение ответчика выкупить долю / сдачу комнаты посторонним лицам]. Пунктом 2 статьи 288 ГК РФ установлено: «Жилые помещения предназначены для проживания граждан.» «Гражданин - собственник жилого помещения может использовать его для личного проживания и проживания членов его семьи.» Использование доли для вселения посторонних лиц нарушит права ответчика как сособственника и проживающих в квартире членов его семьи.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доли истца не позволяет выделить ему изолированную комнату.</w:t>
      </w:r>
      <w:r>
        <w:rPr>
          <w:rFonts w:ascii="Times New Roman" w:hAnsi="Times New Roman"/>
          <w:b w:val="0"/>
          <w:i w:val="0"/>
          <w:sz w:val="24"/>
        </w:rPr>
        <w:t xml:space="preserve"> На долю истца [__] приходится [__] кв. м жилой площади, тогда как наименьшая комната имеет площадь [__] кв. м. Передача истцу комнаты, существенно превышающей его долю, нарушит права ответчика. [Если выделить соразмерное помещение невозможно, истец вправе требовать денежной компенсации за пользование его долей ответчиком — статья 247 ГК РФ, — а не передачи комнаты.]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Пределы прав собственника.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209 ГК РФ установлено: «Собственник вправе по своему усмотрению совершать в отношении принадлежащего ему имущества любые действия, не противоречащие закону и иным правовым актам и не нарушающие права и охраняемые законом интересы других лиц, в том числе отчуждать свое имущество в собственность другим лицам, передавать им, оставаясь собственником, права владения, пользования и распоряжения имуществом, отдавать имущество в залог и обременять его другими способами, распоряжаться им иным образом.» Собственник не вправе осуществлять свои права в ущерб правам и законным интересам других лиц — в данном случае ответчика и членов его семьи, в том числе несовершеннолетних.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Вариант ответчика.</w:t>
      </w:r>
      <w:r>
        <w:rPr>
          <w:rFonts w:ascii="Times New Roman" w:hAnsi="Times New Roman"/>
          <w:b w:val="0"/>
          <w:i w:val="0"/>
          <w:sz w:val="24"/>
        </w:rPr>
        <w:t xml:space="preserve"> Ответчик предлагает [оставить за ответчиком комнаты __, за истцом — комнату __ кв. м; кухню, коридор, санузел оставить в общем пользовании / отказать в определении порядка и взыскивать компенсацию за пользование долей].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209, 247 ГК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