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денежных средств как займа (переквалификации дарения в заём)</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с ответчика денежных средств [сумма] рублей как суммы займа.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деньги как заём, суд не учёл отсутствие письменного договора займа и расписки, а поведение сторон подтверждает дарение; переквалифицировать сделку без доказательства воли обеих сторон на заём нельзя (пункты 1, 2 и 4 части 1 статьи 330 ГПК РФ).</w:t>
      </w:r>
    </w:p>
    <w:p>
      <w:pPr>
        <w:spacing w:after="120" w:line="276" w:lineRule="auto"/>
        <w:ind w:firstLine="709"/>
        <w:jc w:val="both"/>
      </w:pPr>
      <w:r>
        <w:rPr>
          <w:rFonts w:ascii="Times New Roman" w:hAnsi="Times New Roman"/>
          <w:b/>
          <w:i w:val="0"/>
          <w:sz w:val="24"/>
        </w:rPr>
        <w:t>Деньги были подарены, а не переданы в долг.</w:t>
      </w:r>
      <w:r>
        <w:rPr>
          <w:rFonts w:ascii="Times New Roman" w:hAnsi="Times New Roman"/>
          <w:b w:val="0"/>
          <w:i w:val="0"/>
          <w:sz w:val="24"/>
        </w:rPr>
        <w:t xml:space="preserve"> Пунктом 1 статьи 572 Гражданского кодекса Российской Федерации (далее — ГК РФ)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Истец передал ответчику [сумма] рублей [на покупку квартиры / свадьбу / рождение ребёнка] безвозмездно, в качестве подарка [родственнику / супругу сына], без условия о возврате. Пунктом 1 статьи 574 ГК РФ: «Дарение, сопровождаемое передачей дара одаряемому, может быть совершено устно, за исключением случаев, предусмотренных пунктами 2 и 3 настоящей статьи.» Дарение денег между гражданами, сопровождаемое их передачей, может быть совершено устно.</w:t>
      </w:r>
    </w:p>
    <w:p>
      <w:pPr>
        <w:spacing w:after="120" w:line="276" w:lineRule="auto"/>
        <w:ind w:firstLine="709"/>
        <w:jc w:val="both"/>
      </w:pPr>
      <w:r>
        <w:rPr>
          <w:rFonts w:ascii="Times New Roman" w:hAnsi="Times New Roman"/>
          <w:b/>
          <w:i w:val="0"/>
          <w:sz w:val="24"/>
        </w:rPr>
        <w:t>Истец не доказал заключение договора займа.</w:t>
      </w:r>
      <w:r>
        <w:rPr>
          <w:rFonts w:ascii="Times New Roman" w:hAnsi="Times New Roman"/>
          <w:b w:val="0"/>
          <w:i w:val="0"/>
          <w:sz w:val="24"/>
        </w:rPr>
        <w:t xml:space="preserve"> Пунктом 1 статьи 808 ГК РФ установлено: «Договор займа между гражданами должен быть заключен в письменной форме, если его сумма превышает десять тысяч рублей, а в случае, когда займодавцем является юридическое лицо, - независимо от суммы.» Сумма превышает десять тысяч рублей, поэтому договор займа должен быть заключён в письменной форме. Ни договора, ни расписки нет. Банковский перевод без указания назначения «заём» подтверждает лишь передачу денег, но не обязанность их вернуть: существенным условием займа является обязанность заёмщика возвратить сумму (пункт 1 статьи 807 ГК РФ: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w:t>
      </w:r>
    </w:p>
    <w:p>
      <w:pPr>
        <w:spacing w:after="120" w:line="276" w:lineRule="auto"/>
        <w:ind w:firstLine="709"/>
        <w:jc w:val="both"/>
      </w:pPr>
      <w:r>
        <w:rPr>
          <w:rFonts w:ascii="Times New Roman" w:hAnsi="Times New Roman"/>
          <w:b/>
          <w:i w:val="0"/>
          <w:sz w:val="24"/>
        </w:rPr>
        <w:t>Поведение сторон подтверждает дарение.</w:t>
      </w:r>
      <w:r>
        <w:rPr>
          <w:rFonts w:ascii="Times New Roman" w:hAnsi="Times New Roman"/>
          <w:b w:val="0"/>
          <w:i w:val="0"/>
          <w:sz w:val="24"/>
        </w:rPr>
        <w:t xml:space="preserve"> [Истец [__] лет не требовал возврата; деньги передавались в период близких семейных отношений; аналогичные суммы истец передавал [другим детям] без условия возврата; в переписке истец называет их «помощью», «подарком»]. Требование о «возврате» возникло лишь после [ухудшения отношений / развода ответчика с сыном истца].</w:t>
      </w:r>
    </w:p>
    <w:p>
      <w:pPr>
        <w:spacing w:after="120" w:line="276" w:lineRule="auto"/>
        <w:ind w:firstLine="709"/>
        <w:jc w:val="both"/>
      </w:pPr>
      <w:r>
        <w:rPr>
          <w:rFonts w:ascii="Times New Roman" w:hAnsi="Times New Roman"/>
          <w:b/>
          <w:i w:val="0"/>
          <w:sz w:val="24"/>
        </w:rPr>
        <w:t>Нельзя переквалифицировать сделку без доказательства воли обеих сторон.</w:t>
      </w:r>
      <w:r>
        <w:rPr>
          <w:rFonts w:ascii="Times New Roman" w:hAnsi="Times New Roman"/>
          <w:b w:val="0"/>
          <w:i w:val="0"/>
          <w:sz w:val="24"/>
        </w:rPr>
        <w:t xml:space="preserve"> Требование истца по существу направлено на изменение природы сделки по его одностороннему желанию. Пунктом 4 статьи 1109 ГК РФ («денежные суммы и иное имущество, предоставленные во исполнение несуществующего обязательства, если приобретатель докажет, что лицо, требующее возврата имущества, знало об отсутствии обязательства либо предоставило имущество в целях благотворительности.») денежные суммы, предоставленные во исполнение несуществующего обязательства или в целях благотворительности, не подлежат возврату и как неосновательное обогащение.</w:t>
      </w:r>
    </w:p>
    <w:p>
      <w:pPr>
        <w:spacing w:after="120" w:line="276" w:lineRule="auto"/>
        <w:ind w:firstLine="709"/>
        <w:jc w:val="both"/>
      </w:pPr>
      <w:r>
        <w:rPr>
          <w:rFonts w:ascii="Times New Roman" w:hAnsi="Times New Roman"/>
          <w:b/>
          <w:i w:val="0"/>
          <w:sz w:val="24"/>
        </w:rPr>
        <w:t>[Если деньги передавались на общую покупку супругов:] Ответчик — ненадлежащий ответчик в части.</w:t>
      </w:r>
      <w:r>
        <w:rPr>
          <w:rFonts w:ascii="Times New Roman" w:hAnsi="Times New Roman"/>
          <w:b w:val="0"/>
          <w:i w:val="0"/>
          <w:sz w:val="24"/>
        </w:rPr>
        <w:t xml:space="preserve"> Деньги [переданы сыну истца и ответчику как семье / зачислены на счёт сына]; ответчик не может отвечать за всю сумму.</w:t>
      </w:r>
    </w:p>
    <w:p>
      <w:pPr>
        <w:spacing w:after="120" w:line="276" w:lineRule="auto"/>
        <w:ind w:firstLine="709"/>
        <w:jc w:val="both"/>
      </w:pPr>
      <w:r>
        <w:rPr>
          <w:rFonts w:ascii="Times New Roman" w:hAnsi="Times New Roman"/>
          <w:b/>
          <w:i w:val="0"/>
          <w:sz w:val="24"/>
        </w:rPr>
        <w:t>Суд не применил исковую давность, о пропуске которой ответчик заявил в суде первой инстанции.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срок давности начинается по окончании срока исполнения (пункт 2 статьи 200 ГК РФ: «По обязательствам с определенным сроком исполнения течение срока исковой давности начинается по окончании срока исполнения.»), а при исполнении по частям — отдельно по каждому платежу. По обязательствам, срок исполнения которых определён моментом востребования, — «По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Срок возврата [наступил «[дата]» / требование о возврате предъявлено «[дата]»];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572, 574, 807, 808, 812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