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прекращении права пользования жилым помещением бывшего члена семьи собственника и выселении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ответчика прекратившим право пользования жилым помещением по адресу [__], выселении и снятии с регистрационного учёта.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Прекращая право пользования, суд не учёл, что ответчик дал согласие на приватизацию и сохраняет бессрочное право пользования [или семейные отношения не прекращены], а вопрос о сохранении права на определённый срок не обсудил (пункты 1 и 4 части 1 статьи 330 ГПК РФ).</w:t>
      </w:r>
    </w:p>
    <w:p>
      <w:pPr>
        <w:spacing w:after="120" w:line="276" w:lineRule="auto"/>
        <w:ind w:firstLine="709"/>
        <w:jc w:val="both"/>
      </w:pPr>
      <w:r>
        <w:rPr>
          <w:rFonts w:ascii="Times New Roman" w:hAnsi="Times New Roman"/>
          <w:b/>
          <w:i w:val="0"/>
          <w:sz w:val="24"/>
        </w:rPr>
        <w:t>Ответчик дал согласие на приватизацию и сохраняет бессрочное право пользования.</w:t>
      </w:r>
      <w:r>
        <w:rPr>
          <w:rFonts w:ascii="Times New Roman" w:hAnsi="Times New Roman"/>
          <w:b w:val="0"/>
          <w:i w:val="0"/>
          <w:sz w:val="24"/>
        </w:rPr>
        <w:t xml:space="preserve"> На момент приватизации квартиры «[дата]» ответчик имел равное с нанимателем право пользования ею и отказался от участия в приватизации [согласие от «[дата]» прилагается]. Частью 1 статьи 19 Федерального закона от 29.12.2004 № 189-ФЗ «О введении в действие Жилищного кодекса Российской Федерации» установлено: «Если иное не установлено законом или договором,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и на бывших членов семьи собственника жилого помещения, право собственности на которое возникло на основании документа, подтверждающего полную выплату паевого взноса членом жилищного или жилищно-строительного кооператива, при условии, что в момент полной выплаты паевого взноса эти лица были указаны в качестве членов семьи члена жилищного или жилищно-строительного кооператива в ордере, выданном при вселении в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жилищно-строительного кооператива.» Следовательно, ответчик не может быть признан утратившим право пользования и выселен в связи с прекращением семейных отношений с собственником.</w:t>
      </w:r>
    </w:p>
    <w:p>
      <w:pPr>
        <w:spacing w:after="120" w:line="276" w:lineRule="auto"/>
        <w:ind w:firstLine="709"/>
        <w:jc w:val="both"/>
      </w:pPr>
      <w:r>
        <w:rPr>
          <w:rFonts w:ascii="Times New Roman" w:hAnsi="Times New Roman"/>
          <w:b/>
          <w:i w:val="0"/>
          <w:sz w:val="24"/>
        </w:rPr>
        <w:t>Семейные отношения с собственником не прекращены.</w:t>
      </w:r>
      <w:r>
        <w:rPr>
          <w:rFonts w:ascii="Times New Roman" w:hAnsi="Times New Roman"/>
          <w:b w:val="0"/>
          <w:i w:val="0"/>
          <w:sz w:val="24"/>
        </w:rPr>
        <w:t xml:space="preserve"> Частью 1 статьи 31 Жилищного кодекса Российской Федерации (далее —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[Ответчик — родитель / ребёнок собственника; родственные отношения сохраняются независимо от ссор / стороны продолжают вести общее хозяйство]. Конфликт и раздельный бюджет сами по себе не прекращают семейных отношений между родителями и детьми.</w:t>
      </w:r>
    </w:p>
    <w:p>
      <w:pPr>
        <w:spacing w:after="120" w:line="276" w:lineRule="auto"/>
        <w:ind w:firstLine="709"/>
        <w:jc w:val="both"/>
      </w:pPr>
      <w:r>
        <w:rPr>
          <w:rFonts w:ascii="Times New Roman" w:hAnsi="Times New Roman"/>
          <w:b/>
          <w:i w:val="0"/>
          <w:sz w:val="24"/>
        </w:rPr>
        <w:t>[Если ответчик — несовершеннолетний ребёнок собственника:] Право ребёнка сохраняется.</w:t>
      </w:r>
      <w:r>
        <w:rPr>
          <w:rFonts w:ascii="Times New Roman" w:hAnsi="Times New Roman"/>
          <w:b w:val="0"/>
          <w:i w:val="0"/>
          <w:sz w:val="24"/>
        </w:rPr>
        <w:t xml:space="preserve"> Расторжение брака родителей не прекращает семейных отношений собственника с его ребёнком. Ребёнок вселён родителем-собственником и сохраняет право пользования, даже если фактически проживает с другим родителем.</w:t>
      </w:r>
    </w:p>
    <w:p>
      <w:pPr>
        <w:spacing w:after="120" w:line="276" w:lineRule="auto"/>
        <w:ind w:firstLine="709"/>
        <w:jc w:val="both"/>
      </w:pPr>
      <w:r>
        <w:rPr>
          <w:rFonts w:ascii="Times New Roman" w:hAnsi="Times New Roman"/>
          <w:b/>
          <w:i w:val="0"/>
          <w:sz w:val="24"/>
        </w:rPr>
        <w:t>Соглашение о пользовании.</w:t>
      </w:r>
      <w:r>
        <w:rPr>
          <w:rFonts w:ascii="Times New Roman" w:hAnsi="Times New Roman"/>
          <w:b w:val="0"/>
          <w:i w:val="0"/>
          <w:sz w:val="24"/>
        </w:rPr>
        <w:t xml:space="preserve"> Частью 7 статьи 31 ЖК РФ установлено: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[Между сторонами достигнута договорённость о пользовании квартирой ответчиком до «[дата]» — переписка прилагается.]</w:t>
      </w:r>
    </w:p>
    <w:p>
      <w:pPr>
        <w:spacing w:after="120" w:line="276" w:lineRule="auto"/>
        <w:ind w:firstLine="709"/>
        <w:jc w:val="both"/>
      </w:pPr>
      <w:r>
        <w:rPr>
          <w:rFonts w:ascii="Times New Roman" w:hAnsi="Times New Roman"/>
          <w:b/>
          <w:i w:val="0"/>
          <w:sz w:val="24"/>
        </w:rPr>
        <w:t>Выселение — только при доказанности прекращения права.</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Пока право ответчика не прекращено по предусмотренным законом основаниям, оснований для выселения нет.</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Суд не обсудил сохранение права пользования на определённый срок.</w:t>
      </w:r>
      <w:r>
        <w:rPr>
          <w:rFonts w:ascii="Times New Roman" w:hAnsi="Times New Roman"/>
          <w:b w:val="0"/>
          <w:i w:val="0"/>
          <w:sz w:val="24"/>
        </w:rPr>
        <w:t xml:space="preserve"> Частью 4 статьи 31 ЖК РФ установлено: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У ответчика нет другого жилья [выписка ЕГРН], его доход [сумма] рублей не позволяет приобрести или арендовать жильё; [с ним проживает несовершеннолетний ребёнок / ответчик болен]. Ответчик заявлял об этом в суде первой инстанции, однако суд вопрос о сроке не разрешил.</w:t>
      </w:r>
    </w:p>
    <w:p>
      <w:pPr>
        <w:spacing w:after="120" w:line="276" w:lineRule="auto"/>
        <w:ind w:firstLine="709"/>
        <w:jc w:val="both"/>
      </w:pPr>
      <w:r>
        <w:rPr>
          <w:rFonts w:ascii="Times New Roman" w:hAnsi="Times New Roman"/>
          <w:b/>
          <w:i w:val="0"/>
          <w:sz w:val="24"/>
        </w:rPr>
        <w:t>Спор о праве на квартиру не разрешён.</w:t>
      </w:r>
      <w:r>
        <w:rPr>
          <w:rFonts w:ascii="Times New Roman" w:hAnsi="Times New Roman"/>
          <w:b w:val="0"/>
          <w:i w:val="0"/>
          <w:sz w:val="24"/>
        </w:rPr>
        <w:t xml:space="preserve"> [Квартира приобретена собственником в период брака с ответчиком на общие средства / ответчик оплачивал ипотеку и ремонт]; [ответчик предъявил иск о разделе — дело № [__]]. Выселение до разрешения этого спора преждевременно.</w:t>
      </w:r>
    </w:p>
    <w:p>
      <w:pPr>
        <w:spacing w:after="120" w:line="276" w:lineRule="auto"/>
        <w:ind w:firstLine="709"/>
        <w:jc w:val="both"/>
      </w:pPr>
      <w:r>
        <w:rPr>
          <w:rFonts w:ascii="Times New Roman" w:hAnsi="Times New Roman"/>
          <w:b/>
          <w:i w:val="0"/>
          <w:sz w:val="24"/>
        </w:rPr>
        <w:t>Дело о выселении рассмотрено без надлежащего участия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[Прокурор в заседании не участвовал и о нём не извещался / заключение прокурора в решении не отражено и не оценено.] Это нарушение могло привести к неправильному решению (часть 3 статьи 330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31, 35 ЖК РФ, статьёй 19 Вводного закона к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