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бенефициар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принципал: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необоснованно полученного по независимой гарантии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необоснованно полученного по независимой гарантии [сумма] рублей как неосновательного обогащения.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полученное по гарантии, суд не учёл, что требование к гаранту было обоснованным — принципал нарушил основное обязательство, документы достоверны, а неосновательного обогащения нет (пункты 1 и 4 части 1 статьи 270 АПК РФ).</w:t>
      </w:r>
    </w:p>
    <w:p>
      <w:pPr>
        <w:spacing w:after="120" w:line="276" w:lineRule="auto"/>
        <w:ind w:firstLine="709"/>
        <w:jc w:val="both"/>
      </w:pPr>
      <w:r>
        <w:rPr>
          <w:rFonts w:ascii="Times New Roman" w:hAnsi="Times New Roman"/>
          <w:b/>
          <w:i w:val="0"/>
          <w:sz w:val="24"/>
        </w:rPr>
        <w:t>Требование к гаранту было обоснованным: принципал нарушил основное обязательство.</w:t>
      </w:r>
      <w:r>
        <w:rPr>
          <w:rFonts w:ascii="Times New Roman" w:hAnsi="Times New Roman"/>
          <w:b w:val="0"/>
          <w:i w:val="0"/>
          <w:sz w:val="24"/>
        </w:rPr>
        <w:t xml:space="preserve"> Статьёй 375.1 ГК РФ установлено: «Бенефициар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 Принципал [не исполнил обязательства по контракту — акты, претензии; допустил просрочку [__] дней, начислена неустойка [сумма] рублей; не вернул аванс [сумма] рублей]. Обстоятельство, на случай которого выдавалась гарантия, наступило, а полученная сумма не превышает размер действительных требований бенефициара к принципалу.</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Полученная сумма зачтена в счёт [неустойки / неотработанного аванса / убытков] по основному обязательству; основание приобретения — договор и гарантия, обеспечивающая его исполнение. Расчёт требований бенефициара к принципалу на дату получения гарантийной выплаты прилагается.</w:t>
      </w:r>
    </w:p>
    <w:p>
      <w:pPr>
        <w:spacing w:after="120" w:line="276" w:lineRule="auto"/>
        <w:ind w:firstLine="709"/>
        <w:jc w:val="both"/>
      </w:pPr>
      <w:r>
        <w:rPr>
          <w:rFonts w:ascii="Times New Roman" w:hAnsi="Times New Roman"/>
          <w:b/>
          <w:i w:val="0"/>
          <w:sz w:val="24"/>
        </w:rPr>
        <w:t>Документы, приложенные к требованию, были достоверны.</w:t>
      </w:r>
      <w:r>
        <w:rPr>
          <w:rFonts w:ascii="Times New Roman" w:hAnsi="Times New Roman"/>
          <w:b w:val="0"/>
          <w:i w:val="0"/>
          <w:sz w:val="24"/>
        </w:rPr>
        <w:t xml:space="preserve"> Истец не указал, какой документ недостоверен; расчёты и акты подтверждены [первичными документами, перепиской, решением по делу № [__]].</w:t>
      </w:r>
    </w:p>
    <w:p>
      <w:pPr>
        <w:spacing w:after="120" w:line="276" w:lineRule="auto"/>
        <w:ind w:firstLine="709"/>
        <w:jc w:val="both"/>
      </w:pPr>
      <w:r>
        <w:rPr>
          <w:rFonts w:ascii="Times New Roman" w:hAnsi="Times New Roman"/>
          <w:b/>
          <w:i w:val="0"/>
          <w:sz w:val="24"/>
        </w:rPr>
        <w:t>Принципал возместил гаранту выплату, но это не порождает автоматически права взыскать её с бенефициара.</w:t>
      </w:r>
      <w:r>
        <w:rPr>
          <w:rFonts w:ascii="Times New Roman" w:hAnsi="Times New Roman"/>
          <w:b w:val="0"/>
          <w:i w:val="0"/>
          <w:sz w:val="24"/>
        </w:rPr>
        <w:t xml:space="preserve"> Пунктом 1 статьи 379 ГК РФ установлено: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 Регресс гаранта к принципалу основан на соглашении о выдаче гарантии; принципал вправе требовать от бенефициара лишь то, что получено сверх обоснованных требований, и обязан это доказать (часть 1 статьи 65 АПК РФ).</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не знал и не мог знать о неосновательности получения, поскольку требование было обоснованным.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375.1, 379, 1102, 1107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