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как мнимой и применении последствий её недействительности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как мнимой сделки и применении последствий недействительности.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мнимой, суд не учёл её реальное исполнение и наступление правовых последствий, экономическую обоснованность цены и то, что аффилированность сторон сама по себе мнимости не означает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реально исполнена, правовые последствия наступили.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170 ГК РФ установлено: «Мнимая сделка, то есть сделка, совершенная лишь для вида, без намерения создать соответствующие ей правовые последствия, ничтожна.» Мнимость означает, что стороны не намеревались исполнять сделку. Между тем [имущество передано по акту и используется покупателем — фото, договоры аренды с третьими лицами, налоговые декларации / деньги перечислены и израсходованы на цели договора / услуги оказаны — отчёты, переписка, результаты]. Регистрация перехода права, уплата налогов, несение расходов на содержание имущества подтверждают реальность.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Цена и экономическая целесообразность сделки обоснованы.</w:t>
      </w:r>
      <w:r>
        <w:rPr>
          <w:rFonts w:ascii="Times New Roman" w:hAnsi="Times New Roman"/>
          <w:b w:val="0"/>
          <w:i w:val="0"/>
          <w:sz w:val="24"/>
        </w:rPr>
        <w:t xml:space="preserve"> Цена [сумма] рублей соответствует рыночной [заключение оценщика]; сделка совершена в рамках обычной хозяйственной деятельности ответчика [указать цель].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Аффилированность сторон сама по себе не означает мнимости.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[общего участника / родственные связи], однако закон не запрещает сделки между связанными лицами; значение имеет только то, исполнена ли сделка.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нет охраняемого законом интереса.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3 статьи 166 ГК РФ установлено: «Требование о признании недействительной ничтожной сделки независимо от применения последствий ее недействительности может быть удовлетворено, если лицо, предъявляющее такое требование, имеет охраняемый законом интерес в признании этой сделки недействительной.» Истец [не является стороной сделки и не кредитор стороны / его требования к стороне погашены] — признание сделки недействительной не восстановит никаких его прав.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действует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[Иск подан с целью оказать давление на ответчика в корпоративном конфликте / после проигрыша в споре о том же имуществе.]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170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