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признании права собственности в порядке наследования</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признании за истцом права собственности на [имущество] в порядке наследования после смерти [Ф. И. О.].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Признавая право истца, суд не проверил принадлежность имущества наследодателю, круг наследников и своевременность принятия наследства истцом, а также не учёл, что ответчик принял наследство в установленном порядке (пункты 1, 2 и 4 части 1 статьи 330 ГПК РФ).</w:t>
      </w:r>
    </w:p>
    <w:p>
      <w:pPr>
        <w:spacing w:after="120" w:line="276" w:lineRule="auto"/>
        <w:ind w:firstLine="709"/>
        <w:jc w:val="both"/>
      </w:pPr>
      <w:r>
        <w:rPr>
          <w:rFonts w:ascii="Times New Roman" w:hAnsi="Times New Roman"/>
          <w:b/>
          <w:i w:val="0"/>
          <w:sz w:val="24"/>
        </w:rPr>
        <w:t>Право собственности переходит к наследнику лишь при соблюдении условий наследования.</w:t>
      </w:r>
      <w:r>
        <w:rPr>
          <w:rFonts w:ascii="Times New Roman" w:hAnsi="Times New Roman"/>
          <w:b w:val="0"/>
          <w:i w:val="0"/>
          <w:sz w:val="24"/>
        </w:rPr>
        <w:t xml:space="preserve"> Абзацем вторым пункта 2 статьи 218 Гражданского кодекса Российской Федерации (далее — ГК РФ) установлено: «В случае смерти гражданина право собственности на принадлежавшее ему имущество переходит по наследству к другим лицам в соответствии с завещанием или законом.» Пунктом 1 статьи 1110 ГК РФ: «При наследовании имущество умершего (наследство, наследственное имущество) переходит к другим лицам в порядке универсального правопреемства, то есть в неизменном виде как единое целое и в один и тот же момент, если из правил настоящего Кодекса не следует иное.» Истец должен доказать три обстоятельства: принадлежность имущества наследодателю, своё право на наследство (по закону или завещанию) и принятие наследства. Ни одно из них не доказано в полной мере.</w:t>
      </w:r>
    </w:p>
    <w:p>
      <w:pPr>
        <w:spacing w:after="120" w:line="276" w:lineRule="auto"/>
        <w:ind w:firstLine="709"/>
        <w:jc w:val="both"/>
      </w:pPr>
      <w:r>
        <w:rPr>
          <w:rFonts w:ascii="Times New Roman" w:hAnsi="Times New Roman"/>
          <w:b/>
          <w:i w:val="0"/>
          <w:sz w:val="24"/>
        </w:rPr>
        <w:t>Принадлежность имущества наследодателю не подтверждена.</w:t>
      </w:r>
      <w:r>
        <w:rPr>
          <w:rFonts w:ascii="Times New Roman" w:hAnsi="Times New Roman"/>
          <w:b w:val="0"/>
          <w:i w:val="0"/>
          <w:sz w:val="24"/>
        </w:rPr>
        <w:t xml:space="preserve"> [Право наследодателя на [объект] не зарегистрировано в ЕГРН; представленные документы (членская книжка, справка, договор без регистрации) не подтверждают права собственности (пункт 1 статьи 131 ГК РФ: «Право собственности и другие вещные права на недвижимые вещи, ограничения этих прав, их возникновение, переход и прекращение подлежат государственной регистрации в едином государственном реестре органами, осуществляющими государственную регистрацию прав на недвижимость и сделок с ней. Регистрации подлежат: право собственности, право хозяйственного ведения, право оперативного управления, право пожизненного наследуемого владения, право постоянного пользования, ипотека, сервитуты, а также иные права в случаях, предусмотренных настоящим Кодексом и иными законами.») / объект является самовольной постройкой и не может переходить по наследству как объект права собственности].</w:t>
      </w:r>
    </w:p>
    <w:p>
      <w:pPr>
        <w:spacing w:after="120" w:line="276" w:lineRule="auto"/>
        <w:ind w:firstLine="709"/>
        <w:jc w:val="both"/>
      </w:pPr>
      <w:r>
        <w:rPr>
          <w:rFonts w:ascii="Times New Roman" w:hAnsi="Times New Roman"/>
          <w:b/>
          <w:i w:val="0"/>
          <w:sz w:val="24"/>
        </w:rPr>
        <w:t>Истец не является наследником или не единственный наследник.</w:t>
      </w:r>
      <w:r>
        <w:rPr>
          <w:rFonts w:ascii="Times New Roman" w:hAnsi="Times New Roman"/>
          <w:b w:val="0"/>
          <w:i w:val="0"/>
          <w:sz w:val="24"/>
        </w:rPr>
        <w:t xml:space="preserve"> Наследование осуществляется по завещанию и по закону (статья 1111 ГК РФ: «Наследование осуществляется по завещанию, по наследственному договору и по закону.»). Наследником первой очереди наряду с истцом является ответчик (пункт 1 статьи 1142 ГК РФ: «Наследниками первой очереди по закону являются дети, супруг и родители наследодателя.»); наследники одной очереди наследуют в равных долях (пункт 2 статьи 1141 ГК РФ: «Наследники одной очереди наследуют в равных долях, за исключением наследников, наследующих по праву представления (статья 1146).»). Признание права на всё имущество за истцом нарушит права ответчика.</w:t>
      </w:r>
    </w:p>
    <w:p>
      <w:pPr>
        <w:spacing w:after="120" w:line="276" w:lineRule="auto"/>
        <w:ind w:firstLine="709"/>
        <w:jc w:val="both"/>
      </w:pPr>
      <w:r>
        <w:rPr>
          <w:rFonts w:ascii="Times New Roman" w:hAnsi="Times New Roman"/>
          <w:b/>
          <w:i w:val="0"/>
          <w:sz w:val="24"/>
        </w:rPr>
        <w:t>Истец не принял наследство в установленный срок.</w:t>
      </w:r>
      <w:r>
        <w:rPr>
          <w:rFonts w:ascii="Times New Roman" w:hAnsi="Times New Roman"/>
          <w:b w:val="0"/>
          <w:i w:val="0"/>
          <w:sz w:val="24"/>
        </w:rPr>
        <w:t xml:space="preserve"> Пунктом 1 статьи 1152 ГК РФ установлено: «Для приобретения наследства наследник должен его принять.» Пунктом 1 статьи 1154 ГК РФ: «Наследство может быть принято в течение шести месяцев со дня открытия наследства.» Истец к нотариусу не обращался, действий по фактическому принятию наследства в течение шести месяцев не совершал [указать, почему действия, на которые он ссылается, не подходят].</w:t>
      </w:r>
    </w:p>
    <w:p>
      <w:pPr>
        <w:spacing w:after="120" w:line="276" w:lineRule="auto"/>
        <w:ind w:firstLine="709"/>
        <w:jc w:val="both"/>
      </w:pPr>
      <w:r>
        <w:rPr>
          <w:rFonts w:ascii="Times New Roman" w:hAnsi="Times New Roman"/>
          <w:b/>
          <w:i w:val="0"/>
          <w:sz w:val="24"/>
        </w:rPr>
        <w:t>Ответчик принял наследство в установленном порядке.</w:t>
      </w:r>
      <w:r>
        <w:rPr>
          <w:rFonts w:ascii="Times New Roman" w:hAnsi="Times New Roman"/>
          <w:b w:val="0"/>
          <w:i w:val="0"/>
          <w:sz w:val="24"/>
        </w:rPr>
        <w:t xml:space="preserve"> Пунктом 1 статьи 1153 Гражданского кодекса Российской Федерации (далее — ГК РФ) установлено: «Принятие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 Согласно пункту 2 той же статьи «Признается,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 «вступил во владение или в управление наследственным имуществом» «принял меры по сохранению наследственного имущества, защите его от посягательств или притязаний третьих лиц» «произвел за свой счет расходы на содержание наследственного имущества» «оплатил за свой счет долги наследодателя или получил от третьих лиц причитавшиеся наследодателю денежные средства.» Ответчик [подал нотариусу заявление о принятии наследства «[дата]» / в течение шести месяцев вступил во владение наследственным имуществом: проживал в квартире, оплачивал коммунальные услуги, забрал личные вещи наследодателя].</w:t>
      </w:r>
    </w:p>
    <w:p>
      <w:pPr>
        <w:spacing w:after="120" w:line="276" w:lineRule="auto"/>
        <w:ind w:firstLine="709"/>
        <w:jc w:val="both"/>
      </w:pPr>
      <w:r>
        <w:rPr>
          <w:rFonts w:ascii="Times New Roman" w:hAnsi="Times New Roman"/>
          <w:b/>
          <w:i w:val="0"/>
          <w:sz w:val="24"/>
        </w:rPr>
        <w:t>Обращение в суд без обращения к нотариусу.</w:t>
      </w:r>
      <w:r>
        <w:rPr>
          <w:rFonts w:ascii="Times New Roman" w:hAnsi="Times New Roman"/>
          <w:b w:val="0"/>
          <w:i w:val="0"/>
          <w:sz w:val="24"/>
        </w:rPr>
        <w:t xml:space="preserve"> Истец не получил отказа нотариуса в выдаче свидетельства о праве на наследство и не указал препятствий к оформлению наследства в обычном порядке. [Суд не должен подменять нотариуса, если спора о праве нет.]</w:t>
      </w:r>
    </w:p>
    <w:p>
      <w:pPr>
        <w:spacing w:after="120" w:line="276" w:lineRule="auto"/>
        <w:ind w:firstLine="709"/>
        <w:jc w:val="both"/>
      </w:pPr>
      <w:r>
        <w:rPr>
          <w:rFonts w:ascii="Times New Roman" w:hAnsi="Times New Roman"/>
          <w:b/>
          <w:i w:val="0"/>
          <w:sz w:val="24"/>
        </w:rPr>
        <w:t>Суд не применил исковую давность, о пропуске которой ответчик заявил в суде первой инстанции.</w:t>
      </w:r>
      <w:r>
        <w:rPr>
          <w:rFonts w:ascii="Times New Roman" w:hAnsi="Times New Roman"/>
          <w:b w:val="0"/>
          <w:i w:val="0"/>
          <w:sz w:val="24"/>
        </w:rPr>
        <w:t xml:space="preserve"> Пунктом 1 статьи 196 ГК РФ установлено: «Общий срок исковой давности составляет три года со дня, определяемого в соответствии со статьей 200 настоящего Кодекса.» Об открытии наследства и о своих правах истец узнал не позднее «[дата]» [похороны наследодателя / получение извещения нотариуса / разговор с ответчиком];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1110, 1141, 1152, 1153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