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сделки недействительной по пункту 1 статьи 174 ГК РФ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[договора] от «[дата]» как совершённого с превышением полномочий органа юридического лица.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недействительной, суд не установил, что контрагент знал или должен был знать об ограничениях полномочий директора, и не учёл одобрение (исполнение) сделки обществом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знал и не должен был знать об ограничениях полномочий.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174 ГК РФ установлено: «Если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тем, как они определены в доверенности, в законе либо как они могут считаться очевидными из обстановки, в которой совершается сделка, и при ее совершении такое лицо или такой орган вышли за пределы этих ограничений, сделка может быть признана судом недействительной по иску лица, в интересах которого установлены ограничения, лишь в случаях, когда доказано, что другая сторона сделки знала или должна была знать об этих ограничениях.» Ограничение [требование согласия совета директоров на сделки свыше [сумма] рублей] содержится во внутреннем документе / уставе, который ответчику не предъявлялся. Сведения в ЕГРЮЛ ограничений не содержали; ответчик проверил полномочия директора по выписке из ЕГРЮЛ, как это делают добросовестные участники оборота.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одобрена или исполнена обществом.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183 ГК РФ установлено: «Последующее одобрение сделки представляемым создает, изменяет и прекращает для него гражданские права и обязанности по данной сделке с момента ее совершения.» [Общество приняло исполнение и оплатило его / совет директоров впоследствии одобрил сделку протоколом от «[дата]»]. Абзацем четвёртым пункта 2 статьи 166 ГК РФ установлено: «Сторона, из поведения которой явствует ее воля сохранить силу сделки, не вправе оспаривать сделку по основанию, о котором эта сторона знала или должна была знать при проявлении ее воли.» Пунктом 5 той же статьи: «Заявление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сделки.» Истец [принял исполнение / оплатил / подписал акты и дополнительные соглашения / отразил сделку в отчётности] после того, как узнал об обстоятельствах, на которые теперь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совершена в обычной хозяйственной деятельности.</w:t>
      </w:r>
      <w:r>
        <w:rPr>
          <w:rFonts w:ascii="Times New Roman" w:hAnsi="Times New Roman"/>
          <w:b w:val="0"/>
          <w:i w:val="0"/>
          <w:sz w:val="24"/>
        </w:rPr>
        <w:t xml:space="preserve"> Договор такого вида и объёма общество заключало регулярно [перечень аналогичных сделок]; ограничения, на которые ссылается истец, на такие сделки по смыслу устава не распространялись.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не нарушает прав истца.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166 ГК РФ установлено: «Оспоримая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последствия.» Сделка совершена на рыночных условиях [заключение оценщика о рыночной цене], встречное предоставление получено в полном объёме; неблагоприятных последствий для истца не наступило.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174, 183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