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сторона сделки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сделки недействительной как совершённой под влиянием обмана и взыскании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недействительным [договора] от «[дата]» как совершённого под влиянием обмана [и взыскании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сделку недействительной, суд не установил, что ответчик сообщил ложные сведения или умолчал об обстоятельствах, о которых должен был сообщить, его умысел и причинную связь между сведениями и решением истца (пункты 1, 2 и 4 части 1 статьи 270 АПК РФ).</w:t>
      </w:r>
    </w:p>
    <w:p>
      <w:pPr>
        <w:spacing w:after="120" w:line="276" w:lineRule="auto"/>
        <w:ind w:firstLine="709"/>
        <w:jc w:val="both"/>
      </w:pPr>
      <w:r>
        <w:rPr>
          <w:rFonts w:ascii="Times New Roman" w:hAnsi="Times New Roman"/>
          <w:b/>
          <w:i w:val="0"/>
          <w:sz w:val="24"/>
        </w:rPr>
        <w:t>Обмана не было: ответчик не сообщал ложных сведений и раскрыл всю информацию.</w:t>
      </w:r>
      <w:r>
        <w:rPr>
          <w:rFonts w:ascii="Times New Roman" w:hAnsi="Times New Roman"/>
          <w:b w:val="0"/>
          <w:i w:val="0"/>
          <w:sz w:val="24"/>
        </w:rPr>
        <w:t xml:space="preserve"> Абзацем первым пункта 2 статьи 179 ГК РФ установлено: «Сделка, совершенная под влиянием обмана, может быть признана судом недействительной по иску потерпевшего.» Абзацем вторым: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Сведения о [состоянии объекта, обременениях, финансовых показателях] содержались в [документах, переданных до сделки, — опись, письмо от «[дата]»]; истец их получил и изучил. Заверения в договоре соответствуют действительности.</w:t>
      </w:r>
    </w:p>
    <w:p>
      <w:pPr>
        <w:spacing w:after="120" w:line="276" w:lineRule="auto"/>
        <w:ind w:firstLine="709"/>
        <w:jc w:val="both"/>
      </w:pPr>
      <w:r>
        <w:rPr>
          <w:rFonts w:ascii="Times New Roman" w:hAnsi="Times New Roman"/>
          <w:b/>
          <w:i w:val="0"/>
          <w:sz w:val="24"/>
        </w:rPr>
        <w:t>Умысла ответчика нет.</w:t>
      </w:r>
      <w:r>
        <w:rPr>
          <w:rFonts w:ascii="Times New Roman" w:hAnsi="Times New Roman"/>
          <w:b w:val="0"/>
          <w:i w:val="0"/>
          <w:sz w:val="24"/>
        </w:rPr>
        <w:t xml:space="preserve"> Обман — это намеренное введение в заблуждение. Ответчик сам [не знал о скрытом дефекте / полагался на данные независимого оценщика]; добросовестная неосведомлённость обманом не является.</w:t>
      </w:r>
    </w:p>
    <w:p>
      <w:pPr>
        <w:spacing w:after="120" w:line="276" w:lineRule="auto"/>
        <w:ind w:firstLine="709"/>
        <w:jc w:val="both"/>
      </w:pPr>
      <w:r>
        <w:rPr>
          <w:rFonts w:ascii="Times New Roman" w:hAnsi="Times New Roman"/>
          <w:b/>
          <w:i w:val="0"/>
          <w:sz w:val="24"/>
        </w:rPr>
        <w:t>Причинная связь между сведениями и решением истца отсутствует.</w:t>
      </w:r>
      <w:r>
        <w:rPr>
          <w:rFonts w:ascii="Times New Roman" w:hAnsi="Times New Roman"/>
          <w:b w:val="0"/>
          <w:i w:val="0"/>
          <w:sz w:val="24"/>
        </w:rPr>
        <w:t xml:space="preserve"> Истец принимал решение на основании собственной проверки [due diligence, осмотр, экспертиза]; спорное обстоятельство не было определяющим для заключения сделки [цена согласована с учётом рисков, о которых стороны договорились].</w:t>
      </w:r>
    </w:p>
    <w:p>
      <w:pPr>
        <w:spacing w:after="120" w:line="276" w:lineRule="auto"/>
        <w:ind w:firstLine="709"/>
        <w:jc w:val="both"/>
      </w:pPr>
      <w:r>
        <w:rPr>
          <w:rFonts w:ascii="Times New Roman" w:hAnsi="Times New Roman"/>
          <w:b/>
          <w:i w:val="0"/>
          <w:sz w:val="24"/>
        </w:rPr>
        <w:t>Обман третьим лицом не влечёт недействительности, если ответчик о нём не знал.</w:t>
      </w:r>
      <w:r>
        <w:rPr>
          <w:rFonts w:ascii="Times New Roman" w:hAnsi="Times New Roman"/>
          <w:b w:val="0"/>
          <w:i w:val="0"/>
          <w:sz w:val="24"/>
        </w:rPr>
        <w:t xml:space="preserve"> Абзацем третьим пункта 2 статьи 179 ГК РФ: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[Информацию истцу предоставлял брокер (агент) истца, а не ответчик.]</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4 статьи 179 ГК РФ предусмотрено: «Если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 Истец не доказал ни обмана, ни размера убытков, ни их связи с поведением ответчика.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179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