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разделе общего имущества супругов в период брака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разделе общего имущества супругов в период брака: [перечислить, что передано каждому, размер компенсации].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Разделяя имущество в период брака, суд принял вариант истца целиком: включил в раздел имущество, которое общим не является, оценил его со слов истца, не распределил общие долги и не учёл имущество, скрытое истцом после фактического прекращения семейных отношений (пункты 1, 2 и 4 части 1 статьи 330 ГПК РФ).</w:t>
      </w:r>
    </w:p>
    <w:p>
      <w:pPr>
        <w:spacing w:after="120" w:line="276" w:lineRule="auto"/>
        <w:ind w:firstLine="709"/>
        <w:jc w:val="both"/>
      </w:pPr>
      <w:r>
        <w:rPr>
          <w:rFonts w:ascii="Times New Roman" w:hAnsi="Times New Roman"/>
          <w:b/>
          <w:i w:val="0"/>
          <w:sz w:val="24"/>
        </w:rPr>
        <w:t>Не всё перечисленное истцом имущество является общим.</w:t>
      </w:r>
      <w:r>
        <w:rPr>
          <w:rFonts w:ascii="Times New Roman" w:hAnsi="Times New Roman"/>
          <w:b w:val="0"/>
          <w:i w:val="0"/>
          <w:sz w:val="24"/>
        </w:rPr>
        <w:t xml:space="preserve"> Согласно пункту 1 статьи 34 Семейного кодекса Российской Федерации (далее — СК РФ) «Имущество, нажитое супругами во время брака, является их совместной собственностью.» Однако пунктом 1 статьи 36 СК РФ установлено: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В состав имущества, подлежащего разделу, истец необоснованно включил: [указать: квартиру по адресу __, полученную ответчиком по договору дарения от «[дата]» / автомобиль, приобретённый на деньги от продажи добрачной квартиры ответчика / вещи индивидуального пользования]. Это имущество является личной собственностью ответчика и разделу не подлежит.</w:t>
      </w:r>
    </w:p>
    <w:p>
      <w:pPr>
        <w:spacing w:after="120" w:line="276" w:lineRule="auto"/>
        <w:ind w:firstLine="709"/>
        <w:jc w:val="both"/>
      </w:pPr>
      <w:r>
        <w:rPr>
          <w:rFonts w:ascii="Times New Roman" w:hAnsi="Times New Roman"/>
          <w:b/>
          <w:i w:val="0"/>
          <w:sz w:val="24"/>
        </w:rPr>
        <w:t>Вещи и вклады детей разделу не подлежат.</w:t>
      </w:r>
      <w:r>
        <w:rPr>
          <w:rFonts w:ascii="Times New Roman" w:hAnsi="Times New Roman"/>
          <w:b w:val="0"/>
          <w:i w:val="0"/>
          <w:sz w:val="24"/>
        </w:rPr>
        <w:t xml:space="preserve"> Пунктом 5 статьи 38 СК РФ установлено: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 Истец включил в раздел [компьютер, музыкальные инструменты, спортивный инвентарь ребёнка / вклад на имя ребёнка], что противоречит закону.</w:t>
      </w:r>
    </w:p>
    <w:p>
      <w:pPr>
        <w:spacing w:after="120" w:line="276" w:lineRule="auto"/>
        <w:ind w:firstLine="709"/>
        <w:jc w:val="both"/>
      </w:pPr>
      <w:r>
        <w:rPr>
          <w:rFonts w:ascii="Times New Roman" w:hAnsi="Times New Roman"/>
          <w:b/>
          <w:i w:val="0"/>
          <w:sz w:val="24"/>
        </w:rPr>
        <w:t>Имеются основания отступить от равенства долей в пользу ответчика.</w:t>
      </w:r>
      <w:r>
        <w:rPr>
          <w:rFonts w:ascii="Times New Roman" w:hAnsi="Times New Roman"/>
          <w:b w:val="0"/>
          <w:i w:val="0"/>
          <w:sz w:val="24"/>
        </w:rPr>
        <w:t xml:space="preserve"> Пунктом 1 статьи 39 СК РФ установлено: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Согласно пункту 2 той же статьи «Суд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другого супруга.» [С ответчиком проживают общие несовершеннолетние дети [Ф. И. О.] / истец без уважительных причин длительное время не работал / истец расходовал общие деньги в ущерб семье: проигрыши, долги, траты на посторонних лиц — указать и подтвердить]. Доля ответчика должна была быть определена в размере [__].</w:t>
      </w:r>
    </w:p>
    <w:p>
      <w:pPr>
        <w:spacing w:after="120" w:line="276" w:lineRule="auto"/>
        <w:ind w:firstLine="709"/>
        <w:jc w:val="both"/>
      </w:pPr>
      <w:r>
        <w:rPr>
          <w:rFonts w:ascii="Times New Roman" w:hAnsi="Times New Roman"/>
          <w:b/>
          <w:i w:val="0"/>
          <w:sz w:val="24"/>
        </w:rPr>
        <w:t>Общие долги должны быть распределены вместе с имуществом.</w:t>
      </w:r>
      <w:r>
        <w:rPr>
          <w:rFonts w:ascii="Times New Roman" w:hAnsi="Times New Roman"/>
          <w:b w:val="0"/>
          <w:i w:val="0"/>
          <w:sz w:val="24"/>
        </w:rPr>
        <w:t xml:space="preserve"> Пунктом 3 статьи 39 СК РФ установлено: «Общие долги супругов при разделе общего имущества супругов распределяются между супругами пропорционально присужденным им долям.» Истец умолчал об общих обязательствах супругов: [кредитный договор с __ от «[дата]», остаток долга [сумма] рублей, полученный на нужды семьи — ремонт, покупку автомобиля]. Суд эти долги при разделе не учёл.</w:t>
      </w:r>
    </w:p>
    <w:p>
      <w:pPr>
        <w:spacing w:after="120" w:line="276" w:lineRule="auto"/>
        <w:ind w:firstLine="709"/>
        <w:jc w:val="both"/>
      </w:pPr>
      <w:r>
        <w:rPr>
          <w:rFonts w:ascii="Times New Roman" w:hAnsi="Times New Roman"/>
          <w:b/>
          <w:i w:val="0"/>
          <w:sz w:val="24"/>
        </w:rPr>
        <w:t>Имущество, которое истец скрыл или произвольно израсходовал, должно быть учтено в его доле.</w:t>
      </w:r>
      <w:r>
        <w:rPr>
          <w:rFonts w:ascii="Times New Roman" w:hAnsi="Times New Roman"/>
          <w:b w:val="0"/>
          <w:i w:val="0"/>
          <w:sz w:val="24"/>
        </w:rPr>
        <w:t xml:space="preserve"> После фактического прекращения семейных отношений «[дата]» истец без согласия ответчика [продал автомобиль __ за [сумма] рублей / снял со счёта [сумма] рублей] и распорядился полученным по своему усмотрению. Пунктом 3 статьи 35 СК РФ предусмотрен порядок распоряжения имуществом, подлежащим регистрации, — с нотариального согласия другого супруга: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Стоимость отчуждённого имущества должна быть учтена при разделе и включена в долю истца.</w:t>
      </w:r>
    </w:p>
    <w:p>
      <w:pPr>
        <w:spacing w:after="120" w:line="276" w:lineRule="auto"/>
        <w:ind w:firstLine="709"/>
        <w:jc w:val="both"/>
      </w:pPr>
      <w:r>
        <w:rPr>
          <w:rFonts w:ascii="Times New Roman" w:hAnsi="Times New Roman"/>
          <w:b/>
          <w:i w:val="0"/>
          <w:sz w:val="24"/>
        </w:rPr>
        <w:t>О порядке раздела.</w:t>
      </w:r>
      <w:r>
        <w:rPr>
          <w:rFonts w:ascii="Times New Roman" w:hAnsi="Times New Roman"/>
          <w:b w:val="0"/>
          <w:i w:val="0"/>
          <w:sz w:val="24"/>
        </w:rPr>
        <w:t xml:space="preserve"> Пунктом 3 статьи 38 СК РФ установлено: «В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Предложенный истцом вариант [выделить доли в квартире / передать автомобиль истцу] лишает [ответчика и детей] возможности пользоваться имуществом, необходимым для их жизни, и не учитывает [указать]. Ответчик предлагает иной вариант, который суд не обсудил: [описать].</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Пока брак не расторгнут, исковая давность к требованиям о разделе не применяется (пункт 1 статьи 9 СК РФ: «На требования, вытекающие из семейных отношений, исковая давность не распространяется, за исключением случаев, если срок для защиты нарушенного права установлен настоящим Кодексом.»). Однако если истец требует раздела имущества, ранее уже разделённого соглашением сторон от «[дата]», такое требование не подлежит удовлетворению: соглашение не оспорено и исполнено.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 34, 38, 39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