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сносе самовольной постройки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сносе [жилого дома / пристройки / гаража], расположенного на земельном участке по адресу [__], как самовольной постройки [в течение __ месяцев].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снести постройку, суд не установил существенных и неустранимых нарушений градостроительных и строительных норм, не назначил строительно-техническую экспертизу и не обсудил возможность приведения постройки в соответствие; снос — крайняя мера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не является самовольной.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 Абзацем вторым того же пункта: «Не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участка.» Постройка возведена [на собственном участке ответчика с видом разрешённого использования «для ИЖС / садоводства»]; [для строительства объекта вспомогательного использования (баня, сарай, гараж) разрешение на строительство не требуется]; [ответчик направил уведомление о планируемом строительстве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Снос — крайняя мера, применяемая при существенных и неустранимых нарушениях.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222 ГК РФ: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 Отступление от отступов до границы участка [на __ м] не создаёт угрозы жизни и здоровью и может быть устранено [устройством противопожарной стены / снегозадержателей и водоотвода с крыши]. Суд вправе вместо сноса обязать привести постройку в соответствие с установленными требованиями.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Истец, требуя сноса, должен доказать, что сохранение постройки нарушает его права и создаёт угрозу жизни и здоровью (статья 304 ГК РФ: «Собственник может требовать устранения всяких нарушений его права, хотя бы эти нарушения и не были соединены с лишением владения.»). [Затенение участка не превышает нормативов, противопожарное расстояние соблюдено или нарушение компенсировано, сток воды с крыши направлен на участок ответчика.]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соответствует требованиям, право на неё может быть признано.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 [Ответчик заявлял встречный иск о признании права собственности на постройку.]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строительно-технической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[На требование о сносе постройки, не создающей угрозу жизни и здоровью, распространяется трёхлетний срок исковой давности. Постройка возведена в [год], истец знал о ней с этого момента.]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По общему правилу пункта 1 статьи 200 ГК РФ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своего права истец узнал «[дата, когда истец узнал о постройке]», следовательно, срок истёк «[дата]», а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Уважительных причин, связанных с личностью истца (статья 205 ГК РФ), истец не привёл. [Если давность к спору не применяется или явно не пропущена — удалите этот абзац.]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304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