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правообладатель участка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товарищество: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задолженности по взносам (плате за имущество общего пользования) и пеней</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 ответчика задолженности по [членским и целевым взносам / плате за имущество общего пользования] за период с «[дата]» по «[дата]» в размере [сумма] рублей и пеней.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задолженность, суд не проверил, утверждён ли размер взносов на основании приходно-расходной сметы и финансово-экономического обоснования, взыскал целевые взносы на цели, не предусмотренные законом, и не применил исковую давность по части платежей (пункты 1, 2 и 4 части 1 статьи 330 ГПК РФ).</w:t>
      </w:r>
    </w:p>
    <w:p>
      <w:pPr>
        <w:spacing w:after="120" w:line="276" w:lineRule="auto"/>
        <w:ind w:firstLine="709"/>
        <w:jc w:val="both"/>
      </w:pPr>
      <w:r>
        <w:rPr>
          <w:rFonts w:ascii="Times New Roman" w:hAnsi="Times New Roman"/>
          <w:b/>
          <w:i w:val="0"/>
          <w:sz w:val="24"/>
        </w:rPr>
        <w:t>Размер взносов не подтверждён сметой и финансово-экономическим обоснованием.</w:t>
      </w:r>
      <w:r>
        <w:rPr>
          <w:rFonts w:ascii="Times New Roman" w:hAnsi="Times New Roman"/>
          <w:b w:val="0"/>
          <w:i w:val="0"/>
          <w:sz w:val="24"/>
        </w:rPr>
        <w:t xml:space="preserve"> Частью 8 статьи 14 Федерального закона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(далее — Закон № 217-ФЗ) установлено: «Размер взносов определяется на основании приходно-расходной сметы товарищества и финансово-экономического обоснования, утвержденных общим собранием членов товарищества.» Пунктами 21 и 22 части 1 статьи 17 того же закона к исключительной компетенции общего собрания отнесены «определение размера и срока внесения взносов, порядка расходования целевых взносов, а также размера и срока внесения платы, предусмотренной частью 3 статьи 5 настоящего Федерального закона» и «утверждение финансово-экономического обоснования размера взносов, финансово-экономического обоснования размера платы, предусмотренной частью 3 статьи 5 настоящего Федерального закона» [За [год] приходно-расходная смета и ФЭО общим собранием не утверждались / утверждены протоколом, в котором отсутствует кворум / размер взноса установлен правлением, а не собранием.] Решение, принятое по вопросу, не относящемуся к компетенции принявшего его органа, или при отсутствии кворума, ничтожно в силу статьи 181.5 ГК РФ: «принято при отсутствии необходимого кворума» «принято по вопросу, не относящемуся к компетенции собрания» Начисление на основании такого решения неправомерно.</w:t>
      </w:r>
    </w:p>
    <w:p>
      <w:pPr>
        <w:spacing w:after="120" w:line="276" w:lineRule="auto"/>
        <w:ind w:firstLine="709"/>
        <w:jc w:val="both"/>
      </w:pPr>
      <w:r>
        <w:rPr>
          <w:rFonts w:ascii="Times New Roman" w:hAnsi="Times New Roman"/>
          <w:b/>
          <w:i w:val="0"/>
          <w:sz w:val="24"/>
        </w:rPr>
        <w:t>[Для лица без членства.] Плата не может превышать взносов члена товарищества.</w:t>
      </w:r>
      <w:r>
        <w:rPr>
          <w:rFonts w:ascii="Times New Roman" w:hAnsi="Times New Roman"/>
          <w:b w:val="0"/>
          <w:i w:val="0"/>
          <w:sz w:val="24"/>
        </w:rPr>
        <w:t xml:space="preserve"> Частью 3 статьи 5 Закона № 217-ФЗ: «Лица, указанные в части 1 настоящей статьи,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настоящим Федеральным законом для уплаты взносов членами товарищества.» Частью 4: «Суммарный ежегодный размер платы, предусмотренной частью 3 настоящей статьи, устанавливается в размере, равном суммарному ежегодному размеру целевых и членских взносов члена товарищества, рассчитанных в соответствии с настоящим Федеральным законом и уставом товарищества.» [Истец начислил ответчику плату в размере [сумма] рублей, тогда как членский взнос составлял [сумма] рублей; в расчёт включены [расходы на [__], не относящиеся к имуществу общего пользования].]</w:t>
      </w:r>
    </w:p>
    <w:p>
      <w:pPr>
        <w:spacing w:after="120" w:line="276" w:lineRule="auto"/>
        <w:ind w:firstLine="709"/>
        <w:jc w:val="both"/>
      </w:pPr>
      <w:r>
        <w:rPr>
          <w:rFonts w:ascii="Times New Roman" w:hAnsi="Times New Roman"/>
          <w:b/>
          <w:i w:val="0"/>
          <w:sz w:val="24"/>
        </w:rPr>
        <w:t>Целевые взносы начислены на цели, не предусмотренные законом.</w:t>
      </w:r>
      <w:r>
        <w:rPr>
          <w:rFonts w:ascii="Times New Roman" w:hAnsi="Times New Roman"/>
          <w:b w:val="0"/>
          <w:i w:val="0"/>
          <w:sz w:val="24"/>
        </w:rPr>
        <w:t xml:space="preserve"> Частью 6 статьи 14 Закона № 217-ФЗ целевые взносы могут быть направлены на расходы, исключительно связанные: «с подготовкой документов, необходимых для образования земельного участка, находящегося в государственной или муниципальной собственности, в целях дальнейшего предоставления товариществу такого земельного участка» «с подготовкой документации по планировке территории в отношении территории садоводства или огородничества» «с проведением кадастровых работ для целей внесения в Единый государственный реестр недвижимости сведений о садовых или огородных земельных участках, земельных участках общего назначения, об иных объектах недвижимости, относящихся к имуществу общего пользования» «с созданием или приобретением необходимого для деятельности товарищества имущества общего пользования» «с реализацией мероприятий, предусмотренных решением общего собрания членов товарищества.» [Целевой взнос на [__] установлен без решения общего собрания о соответствующем мероприятии / средства собраны на [__], но работы не выполнены — отчёт не представлен.]</w:t>
      </w:r>
    </w:p>
    <w:p>
      <w:pPr>
        <w:spacing w:after="120" w:line="276" w:lineRule="auto"/>
        <w:ind w:firstLine="709"/>
        <w:jc w:val="both"/>
      </w:pPr>
      <w:r>
        <w:rPr>
          <w:rFonts w:ascii="Times New Roman" w:hAnsi="Times New Roman"/>
          <w:b/>
          <w:i w:val="0"/>
          <w:sz w:val="24"/>
        </w:rPr>
        <w:t>Пени не подлежат взысканию [или подлежат снижению].</w:t>
      </w:r>
      <w:r>
        <w:rPr>
          <w:rFonts w:ascii="Times New Roman" w:hAnsi="Times New Roman"/>
          <w:b w:val="0"/>
          <w:i w:val="0"/>
          <w:sz w:val="24"/>
        </w:rPr>
        <w:t xml:space="preserve"> Частью 9 статьи 14 Закона № 217-ФЗ: «Уставом товарищества может быть установлен порядок взимания и размер пеней в случае несвоевременной уплаты взносов.» [Уставом товарищества размер пеней не установлен, а пени, указанные в решении собрания, уставом не предусмотрены.] [Для лица без членства: устав на него не распространяется; пени по уставу к нему не применяются.] Пунктом 1 статьи 333 ГК РФ предусмотрено: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Заявленная неустойка [сумма] рублей составляет [__] % от суммы основного обязательства, что многократно превышает возможные убытки истца, ключевую ставку Банка России и средние ставки по кредитам за тот же период. Реальных негативных последствий нарушения истец не доказал. Мотивы отказа в снижении неустойки [и штрафа] в решении не приведены [или сводятся к общей фразе]; они подлежали снижению до [сумма] рублей.</w:t>
      </w:r>
    </w:p>
    <w:p>
      <w:pPr>
        <w:spacing w:after="120" w:line="276" w:lineRule="auto"/>
        <w:ind w:firstLine="709"/>
        <w:jc w:val="both"/>
      </w:pPr>
      <w:r>
        <w:rPr>
          <w:rFonts w:ascii="Times New Roman" w:hAnsi="Times New Roman"/>
          <w:b/>
          <w:i w:val="0"/>
          <w:sz w:val="24"/>
        </w:rPr>
        <w:t>Истец пропустил срок исковой давности по части платежей.</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Пунктом 2 статьи 200 ГК РФ по обязательствам с определённым сроком исполнения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уплаты взноса за [год] истёк «[дата]», значит, давность по нему истекла «[дата]». [Судебный приказ выдан «[дата]», отменён «[дата]»; даже с учётом этого периода срок по платежам до «[дата]» пропущен.]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Часть сумм оплачена.</w:t>
      </w:r>
      <w:r>
        <w:rPr>
          <w:rFonts w:ascii="Times New Roman" w:hAnsi="Times New Roman"/>
          <w:b w:val="0"/>
          <w:i w:val="0"/>
          <w:sz w:val="24"/>
        </w:rPr>
        <w:t xml:space="preserve"> [Ответчик уплатил [сумма] рублей «[дата]» (чек, выписка банка, квитанция кассира с печатью товарищества); истец эти платежи не учёл или отнёс на погашение пеней и давних долгов, хотя в назначении платежа указан конкретный период.]</w:t>
      </w:r>
    </w:p>
    <w:p>
      <w:pPr>
        <w:spacing w:after="120" w:line="276" w:lineRule="auto"/>
        <w:ind w:firstLine="709"/>
        <w:jc w:val="both"/>
      </w:pPr>
      <w:r>
        <w:rPr>
          <w:rFonts w:ascii="Times New Roman" w:hAnsi="Times New Roman"/>
          <w:b/>
          <w:i w:val="0"/>
          <w:sz w:val="24"/>
        </w:rPr>
        <w:t>[Если товарищество не исполняет обязанностей.] Ответчик не пользуется имуществом, на которое собираются средства.</w:t>
      </w:r>
      <w:r>
        <w:rPr>
          <w:rFonts w:ascii="Times New Roman" w:hAnsi="Times New Roman"/>
          <w:b w:val="0"/>
          <w:i w:val="0"/>
          <w:sz w:val="24"/>
        </w:rPr>
        <w:t xml:space="preserve"> [Участок ответчика не подключён к [водопроводу / электросетям] товарищества; дорога к участку не ремонтировалась с [года]; отчёты о расходовании средств не размещаются.] Эти обстоятельства не освобождают от уплаты членского взноса полностью, но исключают взыскание целевых взносов на объекты, которые не созданы.</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Товарищество обязано доказать законность решений об установлении взносов (кворум, компетенцию, утверждение сметы и ФЭО) и правильность расчёта.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 14, 17 Федерального закона № 217-ФЗ, статьями 196, 199, 200,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