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причинитель вреда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страховщик: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возмещении ущерба в порядке суброгации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ущерба в порядке суброгации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 в порядке суброгации, суд не установил вину водителя ответчика, не учёл, что ущерб в пределах лимита должен покрыть страховщик по ОСАГО, а размер ущерба по дилерскому ремонту завышен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Вина водителя ответчика не доказана [или вина обоюдная].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1079 ГК РФ установлено, что вред, причинённый в результате взаимодействия источников повышенной опасности их владельцам, возмещается на общих основаниях (по принципу вины): «Вред, причиненный в результате взаимодействия источников повышенной опасности их владельцам, возмещается на общих основаниях (статья 1064).» [Постановление по делу об административном правонарушении отменено / вынесено в отношении обоих водителей / из схемы ДТП и видеозаписи следует нарушение ПДД водителем страхователя истца.] Ответчик ходатайствует перед судом апелляционной инстанции о проведении автотехнической экспертизы механизма ДТП.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Страховщик причинителя по ОСАГО должен покрыть ущерб в пределах лимита.</w:t>
      </w:r>
      <w:r>
        <w:rPr>
          <w:rFonts w:ascii="Times New Roman" w:hAnsi="Times New Roman"/>
          <w:b w:val="0"/>
          <w:i w:val="0"/>
          <w:sz w:val="24"/>
        </w:rPr>
        <w:t xml:space="preserve"> Истец вычел из ущерба лишь [фактически полученную сумму], а не страховую сумму по ОСАГО (400 000 рублей) или размер, рассчитанный по Единой методике. Статьёй 1072 ГК РФ установлено: «Юридическое лицо или гражданин, застраховавшие свою ответственность в порядке добровольного или обязательного страхования в пользу потерпевшего (статья 931, пункт 1 статьи 935), в случае, когда страховое возмещение недостаточно для того, чтобы полностью возместить причиненный вред, возмещают разницу между страховым возмещением и фактическим размером ущерба.» Причинитель отвечает только за разницу между фактическим размером ущерба и страховым возмещением, которое было бы выплачено по ОСАГО надлежащим образом.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завышен.</w:t>
      </w:r>
      <w:r>
        <w:rPr>
          <w:rFonts w:ascii="Times New Roman" w:hAnsi="Times New Roman"/>
          <w:b w:val="0"/>
          <w:i w:val="0"/>
          <w:sz w:val="24"/>
        </w:rPr>
        <w:t xml:space="preserve"> Истец оплатил ремонт на дилерской СТОА [без учёта износа деталей, с заменой деталей, подлежащих ремонту, с включением повреждений, не относящихся к ДТП]. Пунктом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Ответчик вправе доказать, что существует иной, более разумный и распространённый способ исправления повреждений.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Перешедшее право осуществляется по правилам отношений страхователя с причинителем.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965 ГК РФ установлено: «Перешедшее к страховщику право требования осуществляется им с соблюдением правил, регулирующих отношения между страхователем (выгодоприобретателем) и лицом, ответственным за убытки.» Все возражения, которые ответчик имел против страхователя, он может выдвинуть и против страховщика.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подлежит определению судебной экспертизой.</w:t>
      </w:r>
      <w:r>
        <w:rPr>
          <w:rFonts w:ascii="Times New Roman" w:hAnsi="Times New Roman"/>
          <w:b w:val="0"/>
          <w:i w:val="0"/>
          <w:sz w:val="24"/>
        </w:rPr>
        <w:t xml:space="preserve"> Заключение, представленное истцом, [выполнено без вызова страховщика на осмотр / не учитывает износ / включает повреждения, не относящиеся к событию].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судебной автотехнической экспертизы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965, 1064, 1068, 1072, 1079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