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суда апелляционной инстанции: верховный суд республики, краевой, областной суд — на решение районного суда; районный суд — на решение мирового судьи]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принявшего решение]</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Ответчик — исполнитель (заявитель апелляционной жалобы): </w:t>
      </w:r>
      <w:r>
        <w:rPr>
          <w:rFonts w:ascii="Times New Roman" w:hAnsi="Times New Roman"/>
          <w:b w:val="0"/>
          <w:i w:val="0"/>
          <w:sz w:val="24"/>
        </w:rPr>
        <w:t>[наименование исполнителя]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 потребитель: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3000 руб. для физического лица / 15 000 руб. для организации (подп. 19 п. 1 ст. 333.19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[наименование суда] от «[дата]» по делу № [номер] об устранении недостатков выполненной работы (бытовой подряд), неустойке, штрафе и компенсации морального вреда</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удовлетворены исковые требования [Ф. И. О. (наименование) истца] к [Ф. И. О. (наименование) ответчика] об обязании безвозмездно устранить недостатки выполненной работы [описание], взыскании неустойки [сумма] рублей, штрафа и компенсации морального вреда. Решение в окончательной форме изготовлено «[дата]», копия получена ответчиком «[дата]».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2 статьи 320 Гражданского процессуального кодекса Российской Федерации (далее — ГПК РФ) установлено: «Право апелляционного обжалования решения суда принадлежит сторонам и другим лицам, участвующим в деле. Право принесения апелляционного представления принадлежит прокурору, участвующему в деле.» Частью 1 статьи 321 ГПК РФ: «Апелляционные жалоба, представление могут быть поданы в течение месяца со дня принятия решения суда в окончательной форме, если иные сроки не установлены настоящим Кодексом.» Срок истекает «[дата]». Жалоба подаётся через суд, принявший решение (часть 2 статьи 321 ГПК РФ: «Апелляционные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pPr>
        <w:spacing w:after="120" w:line="276" w:lineRule="auto"/>
        <w:ind w:firstLine="709"/>
        <w:jc w:val="both"/>
      </w:pPr>
      <w:r>
        <w:rPr>
          <w:rFonts w:ascii="Times New Roman" w:hAnsi="Times New Roman"/>
          <w:b/>
          <w:i w:val="0"/>
          <w:sz w:val="24"/>
        </w:rPr>
        <w:t>Требования к решению суда.</w:t>
      </w:r>
      <w:r>
        <w:rPr>
          <w:rFonts w:ascii="Times New Roman" w:hAnsi="Times New Roman"/>
          <w:b w:val="0"/>
          <w:i w:val="0"/>
          <w:sz w:val="24"/>
        </w:rPr>
        <w:t xml:space="preserve"> Частью 1 статьи 195 ГПК РФ: «Решение суда должно быть законным и обоснованным.» Частью 2 той же статьи: «Суд основывает решение только на тех доказательствах, которые были исследованы в судебном заседании.» Пунктом 2 части 4 статьи 198 ГПК РФ в мотивировочной части решения указываются: «выводы суда, вытекающие из установленных им обстоятельств дела,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330 ГПК РФ установлено: «1. Основаниями для отмены или изменения решения суда в апелляционном порядке являются: 1) неправильное определение обстоятельств, имеющих значение для дела; 2) недоказанность установленных судом первой инстанции обстоятельств, имеющих значение для дела; 3) несоответствие выводов суда первой инстанции, изложенных в решении суда,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Удовлетворяя иск, суд признал доказанными недостатки работы по заключению, полученному истцом без участия ответчика, и не установил их причину: недостатки возникли вследствие действий самого истца, а работа принята без замечаний (пункты 1, 2 и 4 части 1 статьи 330 ГПК РФ).</w:t>
      </w:r>
    </w:p>
    <w:p>
      <w:pPr>
        <w:spacing w:after="120" w:line="276" w:lineRule="auto"/>
        <w:ind w:firstLine="709"/>
        <w:jc w:val="both"/>
      </w:pPr>
      <w:r>
        <w:rPr>
          <w:rFonts w:ascii="Times New Roman" w:hAnsi="Times New Roman"/>
          <w:b/>
          <w:i w:val="0"/>
          <w:sz w:val="24"/>
        </w:rPr>
        <w:t>Работа выполнена качественно и принята истцом без замечаний.</w:t>
      </w:r>
      <w:r>
        <w:rPr>
          <w:rFonts w:ascii="Times New Roman" w:hAnsi="Times New Roman"/>
          <w:b w:val="0"/>
          <w:i w:val="0"/>
          <w:sz w:val="24"/>
        </w:rPr>
        <w:t xml:space="preserve"> Пунктом 1 статьи 4 Закона о защите прав потребителей установлено: «Продавец (исполнитель) обязан передать потребителю товар (выполнить работу, оказать услугу), качество которого соответствует договору.» Работы выполнены в соответствии с договором и [сметой / эскизом / проектом], приняты истцом по акту от «[дата]» без замечаний. Пунктом 3 статьи 720 ГК РФ установлено: «Если иное не предусмотрено договором подряда, заказчик, принявший работу без проверки, лишается права ссылаться на недостатки работы, которые могли быть установлены при обычном способе ее приемки (явные недостатки).»</w:t>
      </w:r>
    </w:p>
    <w:p>
      <w:pPr>
        <w:spacing w:after="120" w:line="276" w:lineRule="auto"/>
        <w:ind w:firstLine="709"/>
        <w:jc w:val="both"/>
      </w:pPr>
      <w:r>
        <w:rPr>
          <w:rFonts w:ascii="Times New Roman" w:hAnsi="Times New Roman"/>
          <w:b/>
          <w:i w:val="0"/>
          <w:sz w:val="24"/>
        </w:rPr>
        <w:t>Заявленные «недостатки» являются следствием действий самого истца или третьих лиц.</w:t>
      </w:r>
      <w:r>
        <w:rPr>
          <w:rFonts w:ascii="Times New Roman" w:hAnsi="Times New Roman"/>
          <w:b w:val="0"/>
          <w:i w:val="0"/>
          <w:sz w:val="24"/>
        </w:rPr>
        <w:t xml:space="preserve"> [Трещины в штукатурке возникли из-за усадки дома / перепадов влажности при отключённой истцом вентиляции; деформация фасадов мебели — из-за установки рядом с батареей вопреки инструкции; повреждения — от действий других мастеров, привлечённых истцом после сдачи работ]. Подрядчик не отвечает за недостатки, возникшие после передачи результата работы потребителю вследствие нарушения правил использования или действий третьих лиц.</w:t>
      </w:r>
    </w:p>
    <w:p>
      <w:pPr>
        <w:spacing w:after="120" w:line="276" w:lineRule="auto"/>
        <w:ind w:firstLine="709"/>
        <w:jc w:val="both"/>
      </w:pPr>
      <w:r>
        <w:rPr>
          <w:rFonts w:ascii="Times New Roman" w:hAnsi="Times New Roman"/>
          <w:b/>
          <w:i w:val="0"/>
          <w:sz w:val="24"/>
        </w:rPr>
        <w:t>Требования предъявлены за пределами гарантийного срока или с нарушением порядка.</w:t>
      </w:r>
      <w:r>
        <w:rPr>
          <w:rFonts w:ascii="Times New Roman" w:hAnsi="Times New Roman"/>
          <w:b w:val="0"/>
          <w:i w:val="0"/>
          <w:sz w:val="24"/>
        </w:rPr>
        <w:t xml:space="preserve"> Пунктом 3 статьи 29 Закона: «Требования, связанные с недостатками выполненной работы (оказанной услуги), могут быть предъявлены при принятии выполненной работы (оказанной услуги) или в ходе выполнения работы (оказания услуги) либо, если невозможно обнаружить недостатки при принятии выполненной работы (оказанной услуги), в течение сроков, установленных настоящим пунктом.» Гарантийный срок на работы — [__] месяцев с «[дата]»; недостатки заявлены «[дата]», то есть [за пределами гарантийного срока; в этом случае бремя доказывания производственного характера недостатков лежит на истце — пункт 5 статьи 29 Закона: «В случаях, когда предусмотренный договором гарантийный срок составляет менее двух лет (пяти лет на недвижимое имущество) и недостатки работы (услуги) обнаружены потребителем по истечении гарантийного срока, но в пределах двух лет (пяти лет на недвижимое имущество), потребитель вправе предъявить требования, предусмотренные пунктом 1 настоящей статьи, если докажет, что такие недостатки возникли до принятия им результата работы (услуги) или по причинам, возникшим до этого момента.»].</w:t>
      </w:r>
    </w:p>
    <w:p>
      <w:pPr>
        <w:spacing w:after="120" w:line="276" w:lineRule="auto"/>
        <w:ind w:firstLine="709"/>
        <w:jc w:val="both"/>
      </w:pPr>
      <w:r>
        <w:rPr>
          <w:rFonts w:ascii="Times New Roman" w:hAnsi="Times New Roman"/>
          <w:b/>
          <w:i w:val="0"/>
          <w:sz w:val="24"/>
        </w:rPr>
        <w:t>Ответчик предлагал устранить недостатки, но истец не обеспечил доступ.</w:t>
      </w:r>
      <w:r>
        <w:rPr>
          <w:rFonts w:ascii="Times New Roman" w:hAnsi="Times New Roman"/>
          <w:b w:val="0"/>
          <w:i w:val="0"/>
          <w:sz w:val="24"/>
        </w:rPr>
        <w:t xml:space="preserve"> На претензию от «[дата]» ответчик ответил «[дата]», предложив [провести осмотр / устранить недостатки в согласованные даты]. Истец [не обеспечил доступ в квартиру / отказался от осмотра], что исключает просрочку исполнителя и начисление неустойки.</w:t>
      </w:r>
    </w:p>
    <w:p>
      <w:pPr>
        <w:spacing w:after="120" w:line="276" w:lineRule="auto"/>
        <w:ind w:firstLine="709"/>
        <w:jc w:val="both"/>
      </w:pPr>
      <w:r>
        <w:rPr>
          <w:rFonts w:ascii="Times New Roman" w:hAnsi="Times New Roman"/>
          <w:b/>
          <w:i w:val="0"/>
          <w:sz w:val="24"/>
        </w:rPr>
        <w:t>Неустойка исчисляется от цены работы с недостатком и не может её превышать.</w:t>
      </w:r>
      <w:r>
        <w:rPr>
          <w:rFonts w:ascii="Times New Roman" w:hAnsi="Times New Roman"/>
          <w:b w:val="0"/>
          <w:i w:val="0"/>
          <w:sz w:val="24"/>
        </w:rPr>
        <w:t xml:space="preserve"> Пунктом 5 статьи 28 Закона: «В случае нарушения установленных сроков выполнения работы (оказания услуги) или назначенных потребителем на основании пункта 1 настоящей статьи новых сроков исполнитель уплачивает потребителю за каждый день (час, если срок определен в часах) просрочки неустойку (пеню) в размере трех процентов цены выполнения работы (оказания услуги), а если цена выполнения работы (оказания услуги) договором о выполнении работ (оказании услуг) не определена - общей цены заказа. Договором о выполнении работ (оказании услуг) между потребителем и исполнителем может быть установлен более высокий размер неустойки (пени).» «Сумма взысканной потребителем неустойки (пени) не может превышать цену отдельного вида выполнения работы (оказания услуги) или общую цену заказа, если цена выполнения отдельного вида работы (оказания услуги) не определена договором о выполнении работы (оказании услуги).» Цена работ по устранению заявленного недостатка [сумма] рублей, а не общая цена договора.</w:t>
      </w:r>
    </w:p>
    <w:p>
      <w:pPr>
        <w:spacing w:after="120" w:line="276" w:lineRule="auto"/>
        <w:ind w:firstLine="709"/>
        <w:jc w:val="both"/>
      </w:pPr>
      <w:r>
        <w:rPr>
          <w:rFonts w:ascii="Times New Roman" w:hAnsi="Times New Roman"/>
          <w:b/>
          <w:i w:val="0"/>
          <w:sz w:val="24"/>
        </w:rPr>
        <w:t>Суд необоснованно отказал ответчику в назначении экспертизы [или не обсудил этот вопрос]; ответчик ходатайствует перед судом апелляционной инстанции о назначении судебной экспертизы.</w:t>
      </w:r>
      <w:r>
        <w:rPr>
          <w:rFonts w:ascii="Times New Roman" w:hAnsi="Times New Roman"/>
          <w:b w:val="0"/>
          <w:i w:val="0"/>
          <w:sz w:val="24"/>
        </w:rPr>
        <w:t xml:space="preserve"> Частью 1 статьи 79 ГПК РФ установлено: «При возникновении в процессе рассмотрения дела вопросов, требующих специальных знаний в различных областях науки, техники, искусства, ремесла, суд назначает экспертизу. Проведение экспертизы может быть поручено судебно-экспертному учреждению, конкретному эксперту или нескольким экспертам.» Заключение, представленное истцом, [получено без извещения ответчика / выполнено специалистом без необходимой квалификации / не содержит исследования причин недостатка]. Ответчик предлагает поставить перед экспертом вопросы: имеется ли заявленный недостаток; какова его причина (производственная или эксплуатационная); является ли он существенным; стоимость и сроки устранения.</w:t>
      </w:r>
    </w:p>
    <w:p>
      <w:pPr>
        <w:spacing w:after="120" w:line="276" w:lineRule="auto"/>
        <w:ind w:firstLine="709"/>
        <w:jc w:val="both"/>
      </w:pPr>
      <w:r>
        <w:rPr>
          <w:rFonts w:ascii="Times New Roman" w:hAnsi="Times New Roman"/>
          <w:b/>
          <w:i w:val="0"/>
          <w:sz w:val="24"/>
        </w:rPr>
        <w:t>Неустойка явно несоразмерна последствиям нарушения.</w:t>
      </w:r>
      <w:r>
        <w:rPr>
          <w:rFonts w:ascii="Times New Roman" w:hAnsi="Times New Roman"/>
          <w:b w:val="0"/>
          <w:i w:val="0"/>
          <w:sz w:val="24"/>
        </w:rPr>
        <w:t xml:space="preserve"> Пунктом 1 статьи 333 Гражданского кодекса Российской Федерации (далее — ГК РФ) установлено: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Ответчик в суде первой инстанции заявлял об уменьшении неустойки: [нарушение незначительное по сроку, устранено «[дата]», реальных убытков истец не понёс; заявленная сумма сопоставима с ценой товара (услуги) и многократно превышает плату по краткосрочным кредитам и ключевую ставку Банка России]. Неустойка не должна служить средством обогащения потребителя.</w:t>
      </w:r>
    </w:p>
    <w:p>
      <w:pPr>
        <w:spacing w:after="120" w:line="276" w:lineRule="auto"/>
        <w:ind w:firstLine="709"/>
        <w:jc w:val="both"/>
      </w:pPr>
      <w:r>
        <w:rPr>
          <w:rFonts w:ascii="Times New Roman" w:hAnsi="Times New Roman"/>
          <w:b/>
          <w:i w:val="0"/>
          <w:sz w:val="24"/>
        </w:rPr>
        <w:t>Штраф не подлежит взысканию [либо подлежит уменьшению].</w:t>
      </w:r>
      <w:r>
        <w:rPr>
          <w:rFonts w:ascii="Times New Roman" w:hAnsi="Times New Roman"/>
          <w:b w:val="0"/>
          <w:i w:val="0"/>
          <w:sz w:val="24"/>
        </w:rPr>
        <w:t xml:space="preserve"> Пунктом 6 статьи 13 Закона РФ «О защите прав потребителей» (далее — Закон о защите прав потребителей) установлено: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владельца агрегатора)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Пунктом 7 той же статьи: «Штраф, предусмотренный пунктом 6 настоящей статьи, не подлежит взысканию в случае, если изготовитель (исполнитель, продавец, уполномоченная организация или уполномоченный индивидуальный предприниматель, импортер) в добровольном порядке не удовлетворил требования потребителя по вине потребителя, в том числе в случае уклонения потребителя от совершения действий, предусмотренных настоящим Законом, либо такого неисполнения им обязательств, в результате которого изготовитель (исполнитель, продавец, уполномоченная организация или уполномоченный индивидуальный предприниматель, импортер) оказался лишен возможности в добровольном порядке удовлетворить требования потребителя.» [Требование истца не было удовлетворено добровольно по его собственной вине: он не представил товар для проверки качества / не сообщил реквизиты / не явился для получения денег.] Кроме того, штраф по своей правовой природе является неустойкой и может быть уменьшен по статье 333 ГК РФ.</w:t>
      </w:r>
    </w:p>
    <w:p>
      <w:pPr>
        <w:spacing w:after="120" w:line="276" w:lineRule="auto"/>
        <w:ind w:firstLine="709"/>
        <w:jc w:val="both"/>
      </w:pPr>
      <w:r>
        <w:rPr>
          <w:rFonts w:ascii="Times New Roman" w:hAnsi="Times New Roman"/>
          <w:b/>
          <w:i w:val="0"/>
          <w:sz w:val="24"/>
        </w:rPr>
        <w:t>Компенсация морального вреда завышена.</w:t>
      </w:r>
      <w:r>
        <w:rPr>
          <w:rFonts w:ascii="Times New Roman" w:hAnsi="Times New Roman"/>
          <w:b w:val="0"/>
          <w:i w:val="0"/>
          <w:sz w:val="24"/>
        </w:rPr>
        <w:t xml:space="preserve"> Статьёй 15 Закона о защите прав потребителей установлено: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владельцем агрегатора)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Размер компенсации определяется с учётом характера нарушения, степени вины и требований разумности. Заявленная сумма [сумма] рублей не соответствует характеру нарушения [носившего имущественный и непродолжительный характер]; разумной является компенсация не более [сумма] рублей.</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по которым суд их отверг, в решении [не приведены / приведены формально], что противоречит пункту 2 части 4 статьи 198 ГПК РФ. Частью 3 статьи 330 ГПК РФ: «Нарушение или неправильное применение норм процессуального права является основанием для изменения или отмены решения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330 ГПК РФ основанием для отмены решения в любом случае является «рассмотрение дела в отсутствие кого-либо из лиц, участвующих в деле и не извещенных надлежащим образом о времени и месте судебного заседания» [Извещение направлено по неверному адресу / вручено после заседания: указать.] В этом случае суд апелляционной инстанции рассматривает дело по правилам производства в суде первой инстанции (часть 5 статьи 330 ГПК РФ).</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Абзацем вторым части 1 статьи 327.1 ГПК РФ: «Суд апелляционной инстанции оценивает имеющиеся в деле, а также дополнительно представленные доказательства. Дополнительные доказательства принимаются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и суд признает эти причины уважительными. О принятии новых доказательств суд апелляционной инстанции выносит определение.» Ответчик не мог представить [документ] в суд первой инстанции, поскольку [не был извещён о заседании / документ получен «[дата]» / суд отказал в его приобщении],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328 ГПК РФ суд апелляционной инстанции вправе «отменить или изменить решение суда первой инстанции полностью или в части и принять по делу новое решение» Государственная пошлина уплачена по подпункту 19 пункта 1 статьи 333.19 Налогового кодекса Российской Федерации: «19) при подаче апелляционной жалобы, частной жалобы, а также при подаче кассационной жалобы на судебный приказ: для физических лиц - 3000 рублей; для организаций - 15 000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13, 15, 28, 29 Закона РФ «О защите прав потребителей», 333 ГК РФ, статьями 320, 321, 322, 327.1, 328, 330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по делу № [номер] [полностью / в части: указать] и принять по делу новое решение об отказе в удовлетворении исковых требований [Ф. И. О.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[Принять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 подтверждающий направление (вручение) истцу и другим лицам, участвующим в деле, копий апелляционной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Копия обжалуемого решения.</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со дня принятия решения в окончательной форме (ч. 1 ст. 321 ГПК РФ); жалоба подаётся через суд, вынесший решение. Если срок пропущен, заявление о восстановлении подаётся в суд апелляционной инстанции одновременно с жалобой (ч. 6 ст. 321 ГПК РФ).</w:t>
      </w:r>
    </w:p>
    <w:p>
      <w:pPr>
        <w:spacing w:after="40" w:line="276" w:lineRule="auto"/>
        <w:jc w:val="both"/>
      </w:pPr>
      <w:r>
        <w:rPr>
          <w:rFonts w:ascii="Times New Roman" w:hAnsi="Times New Roman"/>
          <w:b w:val="0"/>
          <w:i/>
          <w:sz w:val="24"/>
        </w:rPr>
        <w:t>— Новые требования в апелляции не рассматриваются (ч. 4 ст. 327.1 ГПК РФ); новые доказательства примут, только если вы обоснуете, почему не могли представить их раньше. Доводы строите на том, что заявлялось в первой инстанции: заявление о пропуске давности, впервые сделанное в апелляции, не рассматривается (если дело не перешло к рассмотрению по правилам первой инстанции).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