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устранении препятствий в пользовании жилым помещением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устранить препятствия в пользовании [жилым помещением / общим коридором]: [демонтировать перегородку, передать ключи, освободить помещение].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негаторный иск, суд не установил реального нарушения права истца действиями ответчика и не учёл, что [перегородка установлена с согласия соседей / порядок пользования не определён]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иск требует доказательства реального нарушения права истца.</w:t>
      </w:r>
      <w:r>
        <w:rPr>
          <w:rFonts w:ascii="Times New Roman" w:hAnsi="Times New Roman"/>
          <w:b w:val="0"/>
          <w:i w:val="0"/>
          <w:sz w:val="24"/>
        </w:rPr>
        <w:t xml:space="preserve"> Статьёй 304 Гражданского кодекса Российской Федерации (далее — ГК РФ) установлено: «Собственник может требовать устранения всяких нарушений его права, хотя бы эти нарушения и не были соединены с лишением владения.» Истец должен доказать: (1) своё право на помещение; (2) факт создания ответчиком препятствий; (3) противоправность действий ответчика. Ни одно из этих обстоятельств, кроме права истца, не доказано.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Действия ответчика правомерны.</w:t>
      </w:r>
      <w:r>
        <w:rPr>
          <w:rFonts w:ascii="Times New Roman" w:hAnsi="Times New Roman"/>
          <w:b w:val="0"/>
          <w:i w:val="0"/>
          <w:sz w:val="24"/>
        </w:rPr>
        <w:t xml:space="preserve"> [Перегородка (дверь, тамбур) в общем коридоре установлена «[дата]» по решению общего собрания собственников помещений от «[дата]» / с согласия всех соседей, в том числе прежнего собственника квартиры истца]; ключи [переданы всем собственникам, включая истца]. Пользование общим имуществом осуществляется по соглашению собственников, и установленный порядок не лишает истца доступа к его квартире.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Препятствий для истца не создаётся.</w:t>
      </w:r>
      <w:r>
        <w:rPr>
          <w:rFonts w:ascii="Times New Roman" w:hAnsi="Times New Roman"/>
          <w:b w:val="0"/>
          <w:i w:val="0"/>
          <w:sz w:val="24"/>
        </w:rPr>
        <w:t xml:space="preserve"> [Замок на входной двери ответчик не менял / новый комплект ключей передан истцу «[дата]»; истец вправе в любое время пользоваться комнатой __; доступ к местам общего пользования свободен]. Акт осмотра, составленный управляющей компанией «[дата]», нарушений не выявил.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сособственников:] Порядок пользования не определён.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Пока соглашение не достигнуто или порядок не установлен судом, требование истца о передаче ему конкретной комнаты («освобождении» её ответчиком) преждевременно и фактически является требованием об определении порядка пользования, которое истец не заявлял.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истца нарушает права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Жилищного кодекса Российской Федерации (далее — ЖК РФ) установлено: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Пунктом 2 статьи 209 ГК РФ: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[Демонтаж перегородки лишит ответчика защиты от [шума, запахов, проникновения посторонних], обеспечиваемой по решению всех соседей.]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247, 304 ГК РФ, 30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