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химчистка (заявитель апелляционной жалобы): </w:t>
      </w:r>
      <w:r>
        <w:rPr>
          <w:rFonts w:ascii="Times New Roman" w:hAnsi="Times New Roman"/>
          <w:b w:val="0"/>
          <w:i w:val="0"/>
          <w:sz w:val="24"/>
        </w:rPr>
        <w:t>[наименование исполнителя (химчистки)]</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потребитель: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возмещении двукратной стоимости утраченной (повреждённой) вещи, неустойки, штрафа 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двукратной стоимости [повреждённой / утраченной] вещи [сумма] рублей, неустойки, штрафа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двукратную стоимость вещи, суд не учёл, что исполнитель письменно предупредил истца о рисках обработки, истец согласился на них, а дефекты вызваны скрытыми свойствами материала и ненадлежащей маркировкой; цена вещи определена неверно (пункты 1, 2 и 4 части 1 статьи 330 ГПК РФ).</w:t>
      </w:r>
    </w:p>
    <w:p>
      <w:pPr>
        <w:spacing w:after="120" w:line="276" w:lineRule="auto"/>
        <w:ind w:firstLine="709"/>
        <w:jc w:val="both"/>
      </w:pPr>
      <w:r>
        <w:rPr>
          <w:rFonts w:ascii="Times New Roman" w:hAnsi="Times New Roman"/>
          <w:b/>
          <w:i w:val="0"/>
          <w:sz w:val="24"/>
        </w:rPr>
        <w:t>Исполнитель предупредил истца о рисках обработки, и истец согласился.</w:t>
      </w:r>
      <w:r>
        <w:rPr>
          <w:rFonts w:ascii="Times New Roman" w:hAnsi="Times New Roman"/>
          <w:b w:val="0"/>
          <w:i w:val="0"/>
          <w:sz w:val="24"/>
        </w:rPr>
        <w:t xml:space="preserve"> Пунктом 1 статьи 35 Закона о защите прав потребителей установлено: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 При приёмке вещи в квитанции отмечены [степень износа __ %, имеющиеся пятна и дефекты, отсутствие маркировки / маркировка, запрещающая химическую чистку] и предупреждение о возможных последствиях обработки [изменение цвета, усадка, проявление скрытых дефектов]. Истец подписал квитанцию, согласившись с этими условиями. Абзацем первым статьи 36 Закона установлено: «Исполнитель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 Эта обязанность исполнителем выполнена. Пунктом 3 статьи 35 Закона: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pPr>
        <w:spacing w:after="120" w:line="276" w:lineRule="auto"/>
        <w:ind w:firstLine="709"/>
        <w:jc w:val="both"/>
      </w:pPr>
      <w:r>
        <w:rPr>
          <w:rFonts w:ascii="Times New Roman" w:hAnsi="Times New Roman"/>
          <w:b/>
          <w:i w:val="0"/>
          <w:sz w:val="24"/>
        </w:rPr>
        <w:t>Дефекты являются следствием скрытых свойств материала или ненадлежащей маркировки изготовителя.</w:t>
      </w:r>
      <w:r>
        <w:rPr>
          <w:rFonts w:ascii="Times New Roman" w:hAnsi="Times New Roman"/>
          <w:b w:val="0"/>
          <w:i w:val="0"/>
          <w:sz w:val="24"/>
        </w:rPr>
        <w:t xml:space="preserve"> Как следует из того же пункта 3 статьи 35 Закона, исполнитель не отвечает и за свойства, которые не могли быть обнаружены при надлежащей приёмке. [Повреждение вызвано несоответствием материала маркировке изготовителя — заключение специалиста от «[дата]»; скрытые дефекты (непрочное крашение, клеевые соединения) проявились при технологически правильной обработке.]</w:t>
      </w:r>
    </w:p>
    <w:p>
      <w:pPr>
        <w:spacing w:after="120" w:line="276" w:lineRule="auto"/>
        <w:ind w:firstLine="709"/>
        <w:jc w:val="both"/>
      </w:pPr>
      <w:r>
        <w:rPr>
          <w:rFonts w:ascii="Times New Roman" w:hAnsi="Times New Roman"/>
          <w:b/>
          <w:i w:val="0"/>
          <w:sz w:val="24"/>
        </w:rPr>
        <w:t>Цена вещи определена неверно.</w:t>
      </w:r>
      <w:r>
        <w:rPr>
          <w:rFonts w:ascii="Times New Roman" w:hAnsi="Times New Roman"/>
          <w:b w:val="0"/>
          <w:i w:val="0"/>
          <w:sz w:val="24"/>
        </w:rPr>
        <w:t xml:space="preserve"> Абзацем вторым пункта 2 статьи 35 Закона установлено: «Цена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 Пунктом 2 той же статьи: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 Цена определяется с учётом износа [__ %]. Истец оценил вещь по цене новой [сумма] рублей без учёта износа, тогда как в квитанции при приёмке стоимость вещи указана [сумма] рублей.</w:t>
      </w:r>
    </w:p>
    <w:p>
      <w:pPr>
        <w:spacing w:after="120" w:line="276" w:lineRule="auto"/>
        <w:ind w:firstLine="709"/>
        <w:jc w:val="both"/>
      </w:pPr>
      <w:r>
        <w:rPr>
          <w:rFonts w:ascii="Times New Roman" w:hAnsi="Times New Roman"/>
          <w:b/>
          <w:i w:val="0"/>
          <w:sz w:val="24"/>
        </w:rPr>
        <w:t>[Если вещь лишь частично повреждена:] Двукратная стоимость не применяется.</w:t>
      </w:r>
      <w:r>
        <w:rPr>
          <w:rFonts w:ascii="Times New Roman" w:hAnsi="Times New Roman"/>
          <w:b w:val="0"/>
          <w:i w:val="0"/>
          <w:sz w:val="24"/>
        </w:rPr>
        <w:t xml:space="preserve"> Двукратная цена возмещается при полной или частичной утрате (повреждении) вещи; если вещь пригодна к использованию по назначению, возможно лишь уменьшение цены услуги или устранение недостатков (статья 29 Закона).</w:t>
      </w:r>
    </w:p>
    <w:p>
      <w:pPr>
        <w:spacing w:after="120" w:line="276" w:lineRule="auto"/>
        <w:ind w:firstLine="709"/>
        <w:jc w:val="both"/>
      </w:pPr>
      <w:r>
        <w:rPr>
          <w:rFonts w:ascii="Times New Roman" w:hAnsi="Times New Roman"/>
          <w:b/>
          <w:i w:val="0"/>
          <w:sz w:val="24"/>
        </w:rPr>
        <w:t>Неустойка рассчитана неверно.</w:t>
      </w:r>
      <w:r>
        <w:rPr>
          <w:rFonts w:ascii="Times New Roman" w:hAnsi="Times New Roman"/>
          <w:b w:val="0"/>
          <w:i w:val="0"/>
          <w:sz w:val="24"/>
        </w:rPr>
        <w:t xml:space="preserve"> Пунктом 3 статьи 31 Закона: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 Неустойка начисляется от цены услуги [сумма] рублей, а не от стоимости вещи, и не может превышать цену услуги (абзац четвёртый пункта 5 статьи 28 Закона: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pPr>
        <w:spacing w:after="120" w:line="276" w:lineRule="auto"/>
        <w:ind w:firstLine="709"/>
        <w:jc w:val="both"/>
      </w:pPr>
      <w:r>
        <w:rPr>
          <w:rFonts w:ascii="Times New Roman" w:hAnsi="Times New Roman"/>
          <w:b/>
          <w:i w:val="0"/>
          <w:sz w:val="24"/>
        </w:rPr>
        <w:t>Суд необоснованно отказал ответчику в назначении экспертизы [или не обсудил этот вопрос]; ответчик ходатайствует перед судом апелляционной инстанции о назначении судебной экспертизы.</w:t>
      </w:r>
      <w:r>
        <w:rPr>
          <w:rFonts w:ascii="Times New Roman" w:hAnsi="Times New Roman"/>
          <w:b w:val="0"/>
          <w:i w:val="0"/>
          <w:sz w:val="24"/>
        </w:rPr>
        <w:t xml:space="preserve">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Заключение, представленное истцом, [получено без извещения ответчика / выполнено специалистом без необходимой квалификации / не содержит исследования причин недостатка]. Ответчик предлагает поставить перед экспертом вопросы: какова причина дефекта (нарушение технологии обработки, скрытые свойства материала, маркировка); пригодна ли вещь к использованию; какова её стоимость с учётом износа.</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в суде первой инстанции заявлял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35, 36 Закона РФ «О защите прав потребителей», 333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