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возмещении ущерба, причинённого заливом квартиры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с ответчика ущерба, причинённого заливом квартиры по адресу [__], в размере [сумма] рублей, неустойки, штрафа и компенсации морального вреда.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ущерб с управляющей организации, суд не установил, что залив произошёл из общего имущества: [течь возникла после первого запорного устройства — на оборудовании собственника вышерасположенной квартиры]; размер ущерба определён по отчёту истца без экспертизы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Залив произошёл не из общего имущества.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Согласно акту обследования от «[дата]» причина залива — [разрыв гибкой подводки к смесителю / неисправность радиатора после запорного крана / переполнение ванны] в квартире № [__], то есть в оборудовании, обслуживающем одну квартиру и не входящем в состав общего имущества (пункт 3 части 1 статьи 36 Жилищного кодекса Российской Федерации, далее — ЖК РФ: «крыши, ограждающие несущие и ненесущие конструкции данного дома, механическое, электрическое, санитарно-техническое и другое оборудование (в том числе конструкции и (или) иное оборудование, предназначенные для обеспечения беспрепятственного доступа инвалидов к помещениям в многоквартирном доме), находящееся в данном доме за пределами или внутри помещений и обслуживающее более одного помещения (за исключением сетей связи,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найма)»). Ответственность за такое оборудование несёт собственник той квартиры (часть 4 статьи 30 ЖК РФ: «Собственник жилого помещения обязан поддерживать данное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доме.»). Надлежащий ответчик — [Ф. И. О. собственника квартиры № 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Вина ответчика отсутствует.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1064 ГК РФ установлено: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 Ответчик [проводил плановые осмотры инженерных систем «[дата]» — акт; стояк в квартире выше заменён «[дата]»; [собственник квартиры № __ не обеспечил доступ к стояку для осмотра — акт о недопуске]]. [Повреждение вызвано самовольной заменой стояка собственником квартиры № __ / гидроударом по вине РСО.]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за невозмещение ущерба не предусмотрена.</w:t>
      </w:r>
      <w:r>
        <w:rPr>
          <w:rFonts w:ascii="Times New Roman" w:hAnsi="Times New Roman"/>
          <w:b w:val="0"/>
          <w:i w:val="0"/>
          <w:sz w:val="24"/>
        </w:rPr>
        <w:t xml:space="preserve"> Требование о возмещении ущерба от залива носит деликтный характер; неустойка по статьям 28–31 Закона о защите прав потребителей за отказ добровольно возместить ущерб законом не установлена.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не взыскивается, если требование не исполнено по вине потребителя.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7 статьи 13 Закона о защите прав потребителей установлено: «Штраф, предусмотренный пунктом 6 настоящей статьи, не подлежит взысканию в случае, если изготовитель (исполнитель, продавец, уполномоченная организация или уполномоченный индивидуальный предприниматель, импортер) в добровольном порядке не удовлетворил требования потребителя по вине потребителя, в том числе в случае уклонения потребителя от совершения действий, предусмотренных настоящим Законом, либо такого неисполнения им обязательств, в результате которого изготовитель (исполнитель, продавец, уполномоченная организация или уполномоченный индивидуальный предприниматель, импортер) оказался лишен возможности в добровольном порядке удовлетворить требования потребителя.» [Истец не обеспечил доступ в квартиру для проверки / не представил документы / не указал реквизиты для перечисления — переписка прилагается.]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о защите прав потребителей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Размер компенсации определяется с учётом характера нарушения и требований разумности и справедливости. Заявленные [сумма] рублей не соответствуют характеру нарушения [кратковременное отклонение температуры, устранённое в течение __ дней]; разумной является сумма не более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Грубая неосторожность истца.</w:t>
      </w:r>
      <w:r>
        <w:rPr>
          <w:rFonts w:ascii="Times New Roman" w:hAnsi="Times New Roman"/>
          <w:b w:val="0"/>
          <w:i w:val="0"/>
          <w:sz w:val="24"/>
        </w:rPr>
        <w:t xml:space="preserve"> [Истец не перекрыл воду при обнаружении протечки / самостоятельно заменил участок стояка с нарушением технологии.] Пунктом 2 статьи 1083 ГК РФ установлено: «Если грубая неосторожность самого потерпевшего содействовала возникновению или увеличению вреда, в зависимости от степени вины потерпевшего и причинителя вреда размер возмещения должен быть уменьшен.»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определён без судебной экспертизы.</w:t>
      </w:r>
      <w:r>
        <w:rPr>
          <w:rFonts w:ascii="Times New Roman" w:hAnsi="Times New Roman"/>
          <w:b w:val="0"/>
          <w:i w:val="0"/>
          <w:sz w:val="24"/>
        </w:rPr>
        <w:t xml:space="preserve"> Отчёт истца [составлен без участия ответчика / включает повреждения, не отражённые в акте / рассчитан по завышенным ценам].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В назначении экспертизы суд [отказал / вопрос не обсуждал]; ответчик ходатайствует перед судом апелляционной инстанции о назначении судебной оценочной (строительно-технической) экспертизы.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1064, 1083 ГК РФ, 36, 161 ЖК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