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хранитель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поклажедатель: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возмещении убытков, причинённых утратой (повреждением) имущества, переданного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убытков, причинённых утратой (повреждением) имущества, переданного на хранение,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убытки, суд не проверил передачу имущества на хранение в заявленном количестве и не учёл, что повреждение вызвано свойствами вещи или действиями поклажедателя, а срок хранения истёк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Передача имущества на хранение в заявленном количестве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887 ГК РФ установлено: «Простая письменная форма договора хранения считается соблюденной, если принятие вещи на хранение удостоверено хранителем выдачей поклажедателю:» «сохранной расписки, квитанции, свидетельства или иного документа, подписанного хранителем» Истец не представил сохранной расписки (складской квитанции) на [__] единиц; акт приёма-передачи подтверждает передачу лишь [__] единиц [без описи содержимого упаковки].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Повреждение вызвано свойствами вещи или действиями поклажедателя.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901 ГК РФ установлено: «Профессиональный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поклажедателя.» [Товар передан в повреждённой (непригодной для хранения) упаковке — отметка в акте; порча произошла из-за естественных свойств товара, о которых поклажедатель не предупредил; поклажедатель самостоятельно производил погрузочные работы на складе.]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Хранитель принял все предусмотренные договором меры.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891 ГК РФ установлено: «Хранитель обязан принять все предусмотренные договором хранения меры для того, чтобы обеспечить сохранность переданной на хранение вещи.» [Склад охранялся, температурный режим соблюдался — журналы; доступ к товару имели работники поклажедателя.]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хранения истёк, и поклажедатель уклонялся от получения вещи.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901 ГК РФ установлено: «За утрату, недостачу или повреждение принятых на хранение вещей после того, как наступила обязанность поклажедателя взять эти вещи обратно (пункт 1 статьи 899), хранитель отвечает лишь при наличии с его стороны умысла или грубой неосторожности.» Обязанность забрать вещь наступила «[дата]», поклажедатель уведомлён «[дата]»; повреждение, по утверждению истца, произошло после этой даты, а умысла или грубой неосторожности хранителя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убытков завышен.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902 ГК РФ установлено: «Убытки, причиненные поклажедателю утратой, недостачей или повреждением вещей, возмещаются хранителем в соответствии со статьей 393 настоящего Кодекса, если законом или договором хранения не предусмотрено иное.» Истец [требует стоимость вещи по цене реализации с наценкой / не учитывает возможность использования повреждённого товара с уценкой / не учитывает ограничение ответственности по пункту [__] Договора].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886, 889, 899, 901, 902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