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арендатор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возмещении ущерба, причинённого арендованному имуществу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ущерба, причинённого арендованному имуществу, [сумма] рублей.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ущерб, суд не учёл, что состояние имущества соответствует нормальному износу, повреждения возникли не по вине арендатора и не зафиксированы надлежащим образом, а размер ущерба завышен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Состояние имущества соответствует нормальному износу.</w:t>
      </w:r>
      <w:r>
        <w:rPr>
          <w:rFonts w:ascii="Times New Roman" w:hAnsi="Times New Roman"/>
          <w:b w:val="0"/>
          <w:i w:val="0"/>
          <w:sz w:val="24"/>
        </w:rPr>
        <w:t xml:space="preserve"> Статьёй 622 ГК РФ установлено: «При прекращении договора аренды арендатор обязан вернуть арендодателю имущество в том состоянии, в котором он его получил, с учетом нормального износа или в состоянии, обусловленном договором.» Имущество использовалось строго по назначению в течение [__] лет; [потёртости, выцветание, следы крепления мебели] — нормальный износ, а не повреждения. Акт приёма-передачи при передаче имущества не фиксировал его состояние подробно [или фиксировал аналогичные дефекты].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Повреждения возникли не по вине арендатора.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401 ГК РФ установлено: «Отсутствие вины доказывается лицом, нарушившим обязательство.» [Повреждения вызваны аварией инженерных сетей, обслуживаемых арендодателем / протечкой кровли, капитальный ремонт которой — обязанность арендодателя (пункт 1 статьи 616 ГК РФ: «Арендодатель обязан производить за свой счет капитальный ремонт переданного в аренду имущества, если иное не предусмотрено законом, иными правовыми актами или договором аренды.») / действиями третьих лиц, о которых арендатор заявил в полицию «[дата]»]. Имущество использовалось строго в соответствии с договором и назначением (пункт 1 статьи 615 ГК РФ: «Арендатор обязан пользоваться арендованным имуществом в соответствии с условиями договора аренды, а если такие условия в договоре не определены, в соответствии с назначением имущества.»).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Повреждения не зафиксированы надлежащим образом.</w:t>
      </w:r>
      <w:r>
        <w:rPr>
          <w:rFonts w:ascii="Times New Roman" w:hAnsi="Times New Roman"/>
          <w:b w:val="0"/>
          <w:i w:val="0"/>
          <w:sz w:val="24"/>
        </w:rPr>
        <w:t xml:space="preserve"> Акт о повреждениях составлен арендодателем в одностороннем порядке «[дата]», через [__] дней после возврата помещения, без вызова арендатора. За это время помещение [осматривали потенциальные арендаторы, в нём начались работы]. Невозможно установить, что повреждения возникли в период аренды.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завышен.</w:t>
      </w:r>
      <w:r>
        <w:rPr>
          <w:rFonts w:ascii="Times New Roman" w:hAnsi="Times New Roman"/>
          <w:b w:val="0"/>
          <w:i w:val="0"/>
          <w:sz w:val="24"/>
        </w:rPr>
        <w:t xml:space="preserve"> Истец рассчитал ущерб [по стоимости новых материалов без учёта износа / включив улучшения, которых не было при передаче]. Пунктом 2 статьи 393 ГК РФ установлено: «Убытки определяются в соответствии с правилами, предусмотренными статьей 15 настоящего Кодекса.» «Возмещение убытков в полном размере означает, что в результате их возмещения кредитор должен быть поставлен в положение, в котором он находился бы, если бы обязательство было исполнено надлежащим образом.» Восстановление должно поставить кредитора в положение, в котором он находился бы при надлежащем исполнении, а не улучшить его имущество.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Необходима экспертиза.</w:t>
      </w:r>
      <w:r>
        <w:rPr>
          <w:rFonts w:ascii="Times New Roman" w:hAnsi="Times New Roman"/>
          <w:b w:val="0"/>
          <w:i w:val="0"/>
          <w:sz w:val="24"/>
        </w:rPr>
        <w:t xml:space="preserve">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судебной экспертизы по вопросам о наличии, причинах и времени возникновения повреждений и стоимости их устранения с учётом износа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401, 622, 639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