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органа, учреждения или подрядчика по содержанию дороги]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возмещении ущерба, причинённого автомобилю вследствие наезда на выбоину (яму) на дороге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ущерба, причинённого автомобилю вследствие наезда на выбоину, [сумма] рублей и расходов на оценку.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ущерб, суд не установил размеры выбоины в соответствии с ГОСТ Р 50597-2017, не учёл нарушение водителем пункта 10.1 ПДД и то, что часть повреждений не соответствует обстоятельствам; размер ущерба определён без судебной экспертизы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ненадлежащий ответчик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Участок дороги [передан на содержание [подрядной организации] по контракту от «[дата]» № __, по условиям которого подрядчик отвечает перед третьими лицами за вред, причинённый ненадлежащим содержанием / относится к региональной (федеральной) дороге, за которую отвечает [орган]]. Вопрос о замене ненадлежащего ответчика (статья 41 ГПК РФ) суд не разрешил [или отклонил ходатайство без мотивов]; иск к ответчику удовлетворению не подлежал.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Размеры выбоины не установлены надлежащим образом.</w:t>
      </w:r>
      <w:r>
        <w:rPr>
          <w:rFonts w:ascii="Times New Roman" w:hAnsi="Times New Roman"/>
          <w:b w:val="0"/>
          <w:i w:val="0"/>
          <w:sz w:val="24"/>
        </w:rPr>
        <w:t xml:space="preserve"> Пунктом 5.2.4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установлено: «Покрытие проезжей части не должно иметь дефектов в виде выбоин, просадок, проломов, колей и иных повреждений (таблица А.1 приложения А), устранение которых осуществляют в сроки, приведенные в таблице 5.3.» В таблице 5.3 к таким дефектам отнесено: «Отдельное повреждение (выбоина, просадка, пролом) длиной 15 см и более, глубиной 5 см и более, площадью, м2, равной или более 0,06» м². Все три параметра должны быть установлены одновременно. Схема ДТП составлена [без измерений / с измерением «на глаз» без поверенного инструмента / без участия представителя ответчика], акт о выявленных недостатках дорожного покрытия не составлялся.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Водитель нарушил ПДД — грубая неосторожность.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10.1 Правил дорожного движения Российской Федерации установлено: «10.1. Водитель должен вести транспортное средство со скоростью, не превышающей установленного ограничения, учитывая при этом интенсивность движения, особенности и состояние транспортного средства и груза, дорожные и метеорологические условия, в частности видимость в направлении движения. Скорость должна обеспечивать водителю возможность постоянного контроля за движением транспортного средства для выполнения требований Правил. При возникновении опасности для движения, которую водитель в состоянии обнаружить, он должен принять возможные меры к снижению скорости вплоть до остановки транспортного средства.» [Выбоина была видна, участок обозначен знаком «Неровная дорога» / ограничением скорости; ДТП произошло в светлое время суток при хорошей видимости; истец превысил скорость.]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«При грубой неосторожности потерпевшего и отсутствии вины причинителя вреда в случаях, когда его ответственность наступает независимо от вины, размер возмещения должен быть уменьшен или в возмещении вреда может быть отказано, если законом не предусмотрено иное. При причинении вреда жизни или здоровью гражданина отказ в возмещении вреда не допускается.»  Это основание для уменьшения размера возмещения [или отказа в нём].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Повреждения не соответствуют обстоятельствам.</w:t>
      </w:r>
      <w:r>
        <w:rPr>
          <w:rFonts w:ascii="Times New Roman" w:hAnsi="Times New Roman"/>
          <w:b w:val="0"/>
          <w:i w:val="0"/>
          <w:sz w:val="24"/>
        </w:rPr>
        <w:t xml:space="preserve"> [Часть повреждений (бампер, порог) не может образоваться от наезда на выбоину указанной глубины; повреждения дисков и шин могли возникнуть ранее — автомобиль участвовал в ДТП «[дата]» по данным ГИБДД.]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не доказан, суд не назначил экспертизу.</w:t>
      </w:r>
      <w:r>
        <w:rPr>
          <w:rFonts w:ascii="Times New Roman" w:hAnsi="Times New Roman"/>
          <w:b w:val="0"/>
          <w:i w:val="0"/>
          <w:sz w:val="24"/>
        </w:rPr>
        <w:t xml:space="preserve">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перед судом апелляционной инстанции о назначении судебной экспертизы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Работы по содержанию выполнялись.</w:t>
      </w:r>
      <w:r>
        <w:rPr>
          <w:rFonts w:ascii="Times New Roman" w:hAnsi="Times New Roman"/>
          <w:b w:val="0"/>
          <w:i w:val="0"/>
          <w:sz w:val="24"/>
        </w:rPr>
        <w:t xml:space="preserve"> Ответчик [проводил осмотры участка «[дата]», ямочный ремонт «[дата]»; выбоина образовалась в результате [резкого перепада температур] незадолго до ДТП и не могла быть устранена в нормативный срок — ГОСТ устанавливает сроки устранения от момента обнаружения].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1064, 1083 ГК РФ, 12 Федерального закона «О безопасности дорожного движения»,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