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ущерба, причинённого пожаром, перешедшим с соседнего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ущерба, причинённого пожаром, перешедшим с участка ответчика, [сумма] рублей.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ущерб, суд не установил достоверно место и причину возгорания [заключение пожарно-технической экспертизы носит вероятностный характер], не учёл соблюдение ответчиком требований пожарной безопасности и нарушение противопожарных разрывов со стороны истца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все условия деликтной ответственности.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 факт причинения вреда, его размер, противоправность поведения ответчика и причинную связь между этим поведением и вредом. Пунктом 2 той же статьи: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Ответчик вину в причинении вреда отрицает и представляет доказательства её отсутствия.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Причина и место возникновения пожара не установлены достоверно.</w:t>
      </w:r>
      <w:r>
        <w:rPr>
          <w:rFonts w:ascii="Times New Roman" w:hAnsi="Times New Roman"/>
          <w:b w:val="0"/>
          <w:i w:val="0"/>
          <w:sz w:val="24"/>
        </w:rPr>
        <w:t xml:space="preserve"> [Техническое заключение (постановление об отказе в возбуждении уголовного дела) от «[дата]» указывает несколько версий возникновения пожара / очаг пожара определён предположительно / не исключён поджог третьими лицами]. Вероятностные выводы не доказывают причинную связь.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судебной пожарно-технической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соблюдал требования пожарной безопасности.</w:t>
      </w:r>
      <w:r>
        <w:rPr>
          <w:rFonts w:ascii="Times New Roman" w:hAnsi="Times New Roman"/>
          <w:b w:val="0"/>
          <w:i w:val="0"/>
          <w:sz w:val="24"/>
        </w:rPr>
        <w:t xml:space="preserve"> Статьёй 210 ГК РФ («Собственник несет бремя содержания принадлежащего ему имущества, если иное не предусмотрено законом или договором.») собственник несёт бремя содержания имущества; ответчик [содержал электропроводку в исправном состоянии — акт проверки от «[дата]», не оставлял открытый огонь без присмотра, хранил горючие материалы в соответствии с правилами]. Пожар возник в результате [короткого замыкания в сетях энергоснабжающей организации / грозового разряда / действий третьих лиц], за которые ответчик не отвечает.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Нарушения противопожарных разрывов со стороны истца способствовали распространению огня.</w:t>
      </w:r>
      <w:r>
        <w:rPr>
          <w:rFonts w:ascii="Times New Roman" w:hAnsi="Times New Roman"/>
          <w:b w:val="0"/>
          <w:i w:val="0"/>
          <w:sz w:val="24"/>
        </w:rPr>
        <w:t xml:space="preserve"> [Постройки истца возведены вплотную к границе участка ответчика, без соблюдения противопожарных расстояний; на участке истца хранились горючие материалы.]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«При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допускается.»  Это основание для уменьшения размера возмещения [или отказа в нём].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завышен.</w:t>
      </w:r>
      <w:r>
        <w:rPr>
          <w:rFonts w:ascii="Times New Roman" w:hAnsi="Times New Roman"/>
          <w:b w:val="0"/>
          <w:i w:val="0"/>
          <w:sz w:val="24"/>
        </w:rPr>
        <w:t xml:space="preserve"> [Истец оценил постройки по стоимости новых, без учёта износа и года постройки; включил имущество, наличие которого не подтверждено; не учёл годные остатки.] Возмещению подлежит реальный ущерб (статья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выгода).»). Заключение, представленное истцом, [выполнено без извещения ответчика об осмотре / включает повреждения, не связанные с событием / рассчитано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Ответчик ходатайствует перед судом апелляционной инстанции о назначении судебной экспертизы о механизме образования повреждений, их относимости к событию и стоимости восстановления.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имущество истца было застраховано:]</w:t>
      </w:r>
      <w:r>
        <w:rPr>
          <w:rFonts w:ascii="Times New Roman" w:hAnsi="Times New Roman"/>
          <w:b w:val="0"/>
          <w:i w:val="0"/>
          <w:sz w:val="24"/>
        </w:rPr>
        <w:t xml:space="preserve"> Страховое возмещение, полученное истцом, уменьшает размер требований к ответчику; право требования в этой части перешло к страховщику (статья 965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Имущественное положение ответчика.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1083 ГК РФ установлено: «Суд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умышленно.» Ответчик [пенсионер / имеет доход [сумма] рублей, на иждивении — [дети], кредитные обязательства]; вред причинён неумышленно. Суд не обсудил уменьшение размера возмещения с учётом имущественного положения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210, 1064, 1083 ГК РФ, 38 Федерального закона «О пожарной безопасности»,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