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перевозчик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грузоотправитель: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возмещении ущерба, причинённого утратой (недостачей, повреждением) груза, и возврате провозной платы</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ущерба, причинённого утратой (недостачей, повреждением) груза,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ущерб, суд не проверил соблюдение обязательного претензионного порядка по перевозке, не учёл, что повреждение вызвано обстоятельствами, которые перевозчик не мог предотвратить, а груз принят получателем без замечаний (пункты 1 и 4 части 1 статьи 270 АПК РФ).</w:t>
      </w:r>
    </w:p>
    <w:p>
      <w:pPr>
        <w:spacing w:after="120" w:line="276" w:lineRule="auto"/>
        <w:ind w:firstLine="709"/>
        <w:jc w:val="both"/>
      </w:pPr>
      <w:r>
        <w:rPr>
          <w:rFonts w:ascii="Times New Roman" w:hAnsi="Times New Roman"/>
          <w:b/>
          <w:i w:val="0"/>
          <w:sz w:val="24"/>
        </w:rPr>
        <w:t>Обязательный претензионный порядок по перевозке не соблюдён.</w:t>
      </w:r>
      <w:r>
        <w:rPr>
          <w:rFonts w:ascii="Times New Roman" w:hAnsi="Times New Roman"/>
          <w:b w:val="0"/>
          <w:i w:val="0"/>
          <w:sz w:val="24"/>
        </w:rPr>
        <w:t xml:space="preserve"> Пунктом 1 статьи 797 ГК РФ установлено: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 Частью 2 статьи 39 Устава автомобильного транспорта и городского наземного электрического транспорта (Федеральный закон от 08.11.2007 № 259-ФЗ, далее — Устав автомобильного транспорта) предусмотрено: «До предъявления к перевозчикам исков, вытекающих из договоров перевозок грузов, к таким лицам в обязательном порядке предъявляются претензии.» [Претензия не предъявлялась / предъявлена без документов, подтверждающих право на её предъявление, количество и стоимость груза / иск подан до истечения тридцати дней на её рассмотрение.] Иск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ind w:firstLine="709"/>
        <w:jc w:val="both"/>
      </w:pPr>
      <w:r>
        <w:rPr>
          <w:rFonts w:ascii="Times New Roman" w:hAnsi="Times New Roman"/>
          <w:b/>
          <w:i w:val="0"/>
          <w:sz w:val="24"/>
        </w:rPr>
        <w:t>Повреждение вызвано обстоятельствами, которые перевозчик не мог предотвратить.</w:t>
      </w:r>
      <w:r>
        <w:rPr>
          <w:rFonts w:ascii="Times New Roman" w:hAnsi="Times New Roman"/>
          <w:b w:val="0"/>
          <w:i w:val="0"/>
          <w:sz w:val="24"/>
        </w:rPr>
        <w:t xml:space="preserve"> Частью 5 статьи 34 Устава автомобильного транспорта установлено: «Перевозчик несет ответственность за сохранность груза с момента принятия его для перевозки и до момента выдачи грузополучателю или управомоченному им лицу, если не докажет, что утрата, недостача или повреждение (порча) груза произошли вследствие обстоятельств, которые перевозчик не мог предотвратить или устранить по не зависящим от него причинам.» Груз [упакован грузоотправителем ненадлежащим образом / погружен и закреплён силами грузоотправителя (часть 8 статьи 11 Устава) / повреждён вследствие естественных свойств груза], что отражено в накладной [отметки водителя об упаковке, о погрузке без его участия].</w:t>
      </w:r>
    </w:p>
    <w:p>
      <w:pPr>
        <w:spacing w:after="120" w:line="276" w:lineRule="auto"/>
        <w:ind w:firstLine="709"/>
        <w:jc w:val="both"/>
      </w:pPr>
      <w:r>
        <w:rPr>
          <w:rFonts w:ascii="Times New Roman" w:hAnsi="Times New Roman"/>
          <w:b/>
          <w:i w:val="0"/>
          <w:sz w:val="24"/>
        </w:rPr>
        <w:t>Груз принят получателем без замечаний.</w:t>
      </w:r>
      <w:r>
        <w:rPr>
          <w:rFonts w:ascii="Times New Roman" w:hAnsi="Times New Roman"/>
          <w:b w:val="0"/>
          <w:i w:val="0"/>
          <w:sz w:val="24"/>
        </w:rPr>
        <w:t xml:space="preserve"> Частью 1 статьи 38 Устава автомобильного транспорта установлено: «Обстоятельства, являющиеся основанием для возникновения ответственности перевозчиков, фрахтовщиков, грузоотправителей, грузополучателей, фрахтователей, пассажиров при перевозках пассажиров и багажа, грузов или предоставлении транспортных средств для перевозок пассажиров и багажа, грузов, удостоверяются актами или отметками в транспортных накладных, путевых листах, сопроводительных ведомостях, предусмотренных настоящим Федеральным законом.» Акт от «[дата]» составлен без представителя перевозчика (водителя), отметка в транспортной накладной отсутствует, перевозчик на осмотр не вызывался. Груз [принят грузополучателем без замечаний — подпись и печать в накладной]. Пунктом 4 статьи 796 ГК РФ предусмотрено: «Документы о причинах несохранности груза или багажа (коммерческий акт, акт общей формы и т.п.), составленные перевозчиком в одностороннем порядке, подлежат в случае спора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w:t>
      </w:r>
    </w:p>
    <w:p>
      <w:pPr>
        <w:spacing w:after="120" w:line="276" w:lineRule="auto"/>
        <w:ind w:firstLine="709"/>
        <w:jc w:val="both"/>
      </w:pPr>
      <w:r>
        <w:rPr>
          <w:rFonts w:ascii="Times New Roman" w:hAnsi="Times New Roman"/>
          <w:b/>
          <w:i w:val="0"/>
          <w:sz w:val="24"/>
        </w:rPr>
        <w:t>Размер ущерба определён неверно.</w:t>
      </w:r>
      <w:r>
        <w:rPr>
          <w:rFonts w:ascii="Times New Roman" w:hAnsi="Times New Roman"/>
          <w:b w:val="0"/>
          <w:i w:val="0"/>
          <w:sz w:val="24"/>
        </w:rPr>
        <w:t xml:space="preserve"> Пунктом 2 статьи 796 ГК РФ ущерб возмещается: «в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 Абзацем пятым той же статьи: «Стоимость груза или багажа определяется исходя из его цены, указанной в счете продавца или предусмотренной договором, а при отсутствии счета или указания цены в договоре исходя из цены, которая при сравнимых обстоятельствах обычно взимается за аналогичные товары.» Истец [требует полную стоимость груза, хотя груз не утрачен и может быть использован или отремонтирован / включает в стоимость НДС, который предъявит к вычету, торговую наценку, упущенную выгоду]. Перевозчик отвечает только реальным ущербом в пределах, установленных законом.</w:t>
      </w:r>
    </w:p>
    <w:p>
      <w:pPr>
        <w:spacing w:after="120" w:line="276" w:lineRule="auto"/>
        <w:ind w:firstLine="709"/>
        <w:jc w:val="both"/>
      </w:pPr>
      <w:r>
        <w:rPr>
          <w:rFonts w:ascii="Times New Roman" w:hAnsi="Times New Roman"/>
          <w:b/>
          <w:i w:val="0"/>
          <w:sz w:val="24"/>
        </w:rPr>
        <w:t>Возврат провозной платы возможен только пропорционально утраченной (повреждённой) части.</w:t>
      </w:r>
      <w:r>
        <w:rPr>
          <w:rFonts w:ascii="Times New Roman" w:hAnsi="Times New Roman"/>
          <w:b w:val="0"/>
          <w:i w:val="0"/>
          <w:sz w:val="24"/>
        </w:rPr>
        <w:t xml:space="preserve"> Пунктом 3 статьи 796 ГК РФ установлено: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796, 797 ГК РФ, статьями 39, 42 Устава автомобильного транспорта,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