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вреда здоровью, причинённого укусом собаки,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расходов на лечение [сумма] рублей и компенсации морального вреда [сумма] рублей в связи с укусом собаки.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возмещение, суд не установил, что укусила именно собака ответчика, не учёл провокацию собаки и грубую неосторожность потерпевшего, а размер компенсации определил без учёта характера травмы и имущественного положения ответчика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доказано, что укусила собака ответчика.</w:t>
      </w:r>
      <w:r>
        <w:rPr>
          <w:rFonts w:ascii="Times New Roman" w:hAnsi="Times New Roman"/>
          <w:b w:val="0"/>
          <w:i w:val="0"/>
          <w:sz w:val="24"/>
        </w:rPr>
        <w:t xml:space="preserve"> [Истец не может точно описать собаку; в районе обитают безнадзорные собаки; свидетелей нет / показания противоречивы]. Собака ответчика [в момент происшествия находилась дома / на огороженной территории — показания соседей, данные видеокамер].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Потерпевший спровоцировал собаку.</w:t>
      </w:r>
      <w:r>
        <w:rPr>
          <w:rFonts w:ascii="Times New Roman" w:hAnsi="Times New Roman"/>
          <w:b w:val="0"/>
          <w:i w:val="0"/>
          <w:sz w:val="24"/>
        </w:rPr>
        <w:t xml:space="preserve"> [Истец зашёл на огороженную территорию ответчика, несмотря на табличку «Осторожно, злая собака» / пытался погладить или ударить собаку / отбирал у неё предмет / находился в состоянии опьянения].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потерпевшего.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Провокация собаки и проникновение на чужую огороженную территорию — грубая неосторожность.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лечение не подтверждены нуждаемостью.</w:t>
      </w:r>
      <w:r>
        <w:rPr>
          <w:rFonts w:ascii="Times New Roman" w:hAnsi="Times New Roman"/>
          <w:b w:val="0"/>
          <w:i w:val="0"/>
          <w:sz w:val="24"/>
        </w:rPr>
        <w:t xml:space="preserve"> [Антирабическая помощь оказывается бесплатно по ОМС; истец обратился в платную клинику без необходимости; часть расходов (косметологические процедуры) не связана с укусом.] Пунктом 1 статьи 1085 ГК РФ возмещаются расходы при нуждаемости и отсутствии права на бесплатную помощь («При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должна учитывать характер травмы.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Травма [поверхностная, без последствий, лечение длилось [__] дней — медицинские документы]. Заявленная сумма несоразмерна.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Суд не обсудил уменьшение размера возмещения с учётом имущественного положения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137, 1064, 1083, 1101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